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76AAF" w14:textId="77777777" w:rsidR="00792960" w:rsidRDefault="00792960" w:rsidP="00792960">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14:paraId="4CE4ACDE" w14:textId="77777777" w:rsidR="00792960" w:rsidRPr="00826D24" w:rsidRDefault="00792960" w:rsidP="00792960">
      <w:pPr>
        <w:jc w:val="center"/>
        <w:rPr>
          <w:rFonts w:ascii="Arial" w:hAnsi="Arial" w:cs="Arial"/>
          <w:sz w:val="20"/>
          <w:szCs w:val="20"/>
        </w:rPr>
      </w:pPr>
    </w:p>
    <w:p w14:paraId="7BC88CB3" w14:textId="77777777" w:rsidR="00792960" w:rsidRPr="00826D24" w:rsidRDefault="00792960" w:rsidP="00792960">
      <w:pPr>
        <w:rPr>
          <w:rFonts w:ascii="Arial" w:hAnsi="Arial" w:cs="Arial"/>
          <w:sz w:val="22"/>
          <w:szCs w:val="22"/>
        </w:rPr>
      </w:pPr>
    </w:p>
    <w:p w14:paraId="57CA96E0" w14:textId="77777777" w:rsidR="00792960" w:rsidRPr="00826D24" w:rsidRDefault="00792960" w:rsidP="00792960">
      <w:pPr>
        <w:rPr>
          <w:rFonts w:ascii="Arial" w:hAnsi="Arial" w:cs="Arial"/>
          <w:sz w:val="22"/>
          <w:szCs w:val="22"/>
        </w:rPr>
      </w:pPr>
    </w:p>
    <w:p w14:paraId="120B064A" w14:textId="77777777" w:rsidR="00792960" w:rsidRPr="00826D24" w:rsidRDefault="00792960" w:rsidP="00792960">
      <w:pPr>
        <w:rPr>
          <w:rFonts w:ascii="Arial" w:hAnsi="Arial" w:cs="Arial"/>
          <w:sz w:val="22"/>
          <w:szCs w:val="22"/>
        </w:rPr>
      </w:pPr>
      <w:r w:rsidRPr="00826D24">
        <w:rPr>
          <w:rFonts w:ascii="Arial" w:hAnsi="Arial" w:cs="Arial"/>
          <w:sz w:val="22"/>
          <w:szCs w:val="22"/>
        </w:rPr>
        <w:t>Materiál na rokovanie Zastupiteľstva</w:t>
      </w:r>
    </w:p>
    <w:p w14:paraId="4BFD0279" w14:textId="77777777" w:rsidR="00792960" w:rsidRPr="00826D24" w:rsidRDefault="00792960" w:rsidP="00792960">
      <w:pPr>
        <w:rPr>
          <w:rFonts w:ascii="Arial" w:hAnsi="Arial" w:cs="Arial"/>
          <w:sz w:val="22"/>
          <w:szCs w:val="22"/>
        </w:rPr>
      </w:pPr>
      <w:r w:rsidRPr="00826D24">
        <w:rPr>
          <w:rFonts w:ascii="Arial" w:hAnsi="Arial" w:cs="Arial"/>
          <w:sz w:val="22"/>
          <w:szCs w:val="22"/>
        </w:rPr>
        <w:t>Bratislavského samosprávneho kraja</w:t>
      </w:r>
    </w:p>
    <w:p w14:paraId="4454C1A3" w14:textId="77777777" w:rsidR="00792960" w:rsidRPr="00826D24" w:rsidRDefault="00792960" w:rsidP="00792960">
      <w:pPr>
        <w:rPr>
          <w:rFonts w:ascii="Arial" w:hAnsi="Arial" w:cs="Arial"/>
          <w:sz w:val="22"/>
          <w:szCs w:val="22"/>
        </w:rPr>
      </w:pPr>
    </w:p>
    <w:p w14:paraId="0295505A" w14:textId="0942C49C" w:rsidR="00792960" w:rsidRPr="00826D24" w:rsidRDefault="00ED787A" w:rsidP="00792960">
      <w:pPr>
        <w:rPr>
          <w:rFonts w:ascii="Arial" w:hAnsi="Arial" w:cs="Arial"/>
          <w:sz w:val="22"/>
          <w:szCs w:val="22"/>
        </w:rPr>
      </w:pPr>
      <w:r>
        <w:rPr>
          <w:rFonts w:ascii="Arial" w:hAnsi="Arial" w:cs="Arial"/>
          <w:sz w:val="22"/>
          <w:szCs w:val="22"/>
        </w:rPr>
        <w:t>12. mája 2017</w:t>
      </w:r>
    </w:p>
    <w:p w14:paraId="353840C5" w14:textId="77777777" w:rsidR="00792960" w:rsidRPr="00826D24" w:rsidRDefault="00792960" w:rsidP="00792960">
      <w:pPr>
        <w:rPr>
          <w:rFonts w:ascii="Arial" w:hAnsi="Arial" w:cs="Arial"/>
          <w:sz w:val="22"/>
          <w:szCs w:val="22"/>
        </w:rPr>
      </w:pPr>
    </w:p>
    <w:p w14:paraId="4A19A8A0" w14:textId="77777777" w:rsidR="000C3516" w:rsidRPr="00826D24" w:rsidRDefault="000C3516" w:rsidP="00792960">
      <w:pPr>
        <w:rPr>
          <w:rFonts w:ascii="Arial" w:hAnsi="Arial" w:cs="Arial"/>
          <w:sz w:val="22"/>
          <w:szCs w:val="22"/>
        </w:rPr>
      </w:pPr>
    </w:p>
    <w:p w14:paraId="5566D18C" w14:textId="77777777" w:rsidR="00792960" w:rsidRPr="00826D24" w:rsidRDefault="00792960" w:rsidP="00792960">
      <w:pPr>
        <w:rPr>
          <w:rFonts w:ascii="Arial" w:hAnsi="Arial" w:cs="Arial"/>
          <w:sz w:val="22"/>
          <w:szCs w:val="22"/>
        </w:rPr>
      </w:pPr>
    </w:p>
    <w:p w14:paraId="6481D660" w14:textId="77777777" w:rsidR="00792960" w:rsidRPr="00826D24" w:rsidRDefault="00792960" w:rsidP="00792960">
      <w:pPr>
        <w:rPr>
          <w:rFonts w:ascii="Arial" w:hAnsi="Arial" w:cs="Arial"/>
          <w:sz w:val="22"/>
          <w:szCs w:val="22"/>
        </w:rPr>
      </w:pPr>
    </w:p>
    <w:p w14:paraId="640A1E01" w14:textId="77777777" w:rsidR="00792960" w:rsidRDefault="00792960" w:rsidP="00792960">
      <w:pPr>
        <w:rPr>
          <w:rFonts w:ascii="Arial" w:hAnsi="Arial" w:cs="Arial"/>
          <w:sz w:val="22"/>
          <w:szCs w:val="22"/>
        </w:rPr>
      </w:pPr>
    </w:p>
    <w:p w14:paraId="2890AE00" w14:textId="77777777" w:rsidR="008034BF" w:rsidRDefault="008034BF" w:rsidP="00792960">
      <w:pPr>
        <w:rPr>
          <w:rFonts w:ascii="Arial" w:hAnsi="Arial" w:cs="Arial"/>
          <w:sz w:val="22"/>
          <w:szCs w:val="22"/>
        </w:rPr>
      </w:pPr>
    </w:p>
    <w:p w14:paraId="516FF8AF" w14:textId="77777777" w:rsidR="008034BF" w:rsidRPr="00826D24" w:rsidRDefault="008034BF" w:rsidP="00792960">
      <w:pPr>
        <w:rPr>
          <w:rFonts w:ascii="Arial" w:hAnsi="Arial" w:cs="Arial"/>
          <w:sz w:val="22"/>
          <w:szCs w:val="22"/>
        </w:rPr>
      </w:pPr>
    </w:p>
    <w:p w14:paraId="732DF33D" w14:textId="77777777" w:rsidR="00792960" w:rsidRPr="00826D24" w:rsidRDefault="00792960" w:rsidP="00792960">
      <w:pPr>
        <w:rPr>
          <w:rFonts w:ascii="Arial" w:hAnsi="Arial" w:cs="Arial"/>
          <w:sz w:val="22"/>
          <w:szCs w:val="22"/>
        </w:rPr>
      </w:pPr>
    </w:p>
    <w:p w14:paraId="5CA5DDE5" w14:textId="70B037B7" w:rsidR="00792960" w:rsidRPr="00373B90" w:rsidRDefault="00ED787A" w:rsidP="000C3516">
      <w:pPr>
        <w:pBdr>
          <w:bottom w:val="single" w:sz="4" w:space="1" w:color="auto"/>
        </w:pBdr>
        <w:jc w:val="center"/>
        <w:rPr>
          <w:rFonts w:ascii="Arial" w:hAnsi="Arial" w:cs="Arial"/>
          <w:b/>
        </w:rPr>
      </w:pPr>
      <w:r>
        <w:rPr>
          <w:rFonts w:ascii="Arial" w:hAnsi="Arial" w:cs="Arial"/>
          <w:b/>
          <w:sz w:val="32"/>
          <w:szCs w:val="32"/>
        </w:rPr>
        <w:t>Plán dopravnej obslužnosti Bratislavského kraja</w:t>
      </w:r>
    </w:p>
    <w:p w14:paraId="623E8D5B" w14:textId="77777777" w:rsidR="00792960" w:rsidRPr="00826D24" w:rsidRDefault="00792960" w:rsidP="00792960">
      <w:pPr>
        <w:jc w:val="center"/>
        <w:rPr>
          <w:rFonts w:ascii="Arial" w:hAnsi="Arial" w:cs="Arial"/>
          <w:sz w:val="20"/>
          <w:szCs w:val="20"/>
        </w:rPr>
      </w:pPr>
    </w:p>
    <w:p w14:paraId="14C1BCDE" w14:textId="77777777" w:rsidR="00792960" w:rsidRPr="00826D24" w:rsidRDefault="00792960" w:rsidP="00792960">
      <w:pPr>
        <w:rPr>
          <w:rFonts w:ascii="Arial" w:hAnsi="Arial" w:cs="Arial"/>
          <w:sz w:val="22"/>
          <w:szCs w:val="22"/>
        </w:rPr>
      </w:pPr>
    </w:p>
    <w:p w14:paraId="67775E32" w14:textId="77777777" w:rsidR="00792960" w:rsidRPr="00826D24" w:rsidRDefault="00792960" w:rsidP="00792960">
      <w:pPr>
        <w:rPr>
          <w:rFonts w:ascii="Arial" w:hAnsi="Arial" w:cs="Arial"/>
          <w:sz w:val="22"/>
          <w:szCs w:val="22"/>
        </w:rPr>
      </w:pPr>
    </w:p>
    <w:p w14:paraId="6965A44A" w14:textId="77777777" w:rsidR="00792960" w:rsidRPr="00826D24" w:rsidRDefault="00792960" w:rsidP="00792960">
      <w:pPr>
        <w:jc w:val="both"/>
        <w:rPr>
          <w:rFonts w:ascii="Arial" w:hAnsi="Arial" w:cs="Arial"/>
          <w:sz w:val="22"/>
          <w:szCs w:val="22"/>
        </w:rPr>
      </w:pPr>
    </w:p>
    <w:p w14:paraId="7B5C9BF2" w14:textId="77777777" w:rsidR="00792960" w:rsidRPr="00826D24" w:rsidRDefault="00792960" w:rsidP="00792960">
      <w:pPr>
        <w:rPr>
          <w:rFonts w:ascii="Arial" w:hAnsi="Arial" w:cs="Arial"/>
          <w:sz w:val="22"/>
          <w:szCs w:val="22"/>
        </w:rPr>
      </w:pPr>
      <w:r w:rsidRPr="00826D24">
        <w:rPr>
          <w:rFonts w:ascii="Arial" w:hAnsi="Arial" w:cs="Arial"/>
          <w:sz w:val="22"/>
          <w:szCs w:val="22"/>
          <w:u w:val="single"/>
        </w:rPr>
        <w:t>Materiál predkladá:</w:t>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rPr>
        <w:tab/>
      </w:r>
      <w:r w:rsidRPr="00826D24">
        <w:rPr>
          <w:rFonts w:ascii="Arial" w:hAnsi="Arial" w:cs="Arial"/>
          <w:sz w:val="22"/>
          <w:szCs w:val="22"/>
          <w:u w:val="single"/>
        </w:rPr>
        <w:t>Materiál obsahuje:</w:t>
      </w:r>
    </w:p>
    <w:p w14:paraId="2AD796CA" w14:textId="77777777" w:rsidR="00792960" w:rsidRPr="00826D24" w:rsidRDefault="00792960" w:rsidP="00792960">
      <w:pPr>
        <w:rPr>
          <w:rFonts w:ascii="Arial" w:hAnsi="Arial" w:cs="Arial"/>
          <w:sz w:val="22"/>
          <w:szCs w:val="22"/>
        </w:rPr>
      </w:pPr>
    </w:p>
    <w:p w14:paraId="2BC0913C" w14:textId="77777777" w:rsidR="00792960" w:rsidRPr="00373B90" w:rsidRDefault="000C3516" w:rsidP="00792960">
      <w:pPr>
        <w:rPr>
          <w:rFonts w:ascii="Arial" w:hAnsi="Arial" w:cs="Arial"/>
          <w:sz w:val="22"/>
          <w:szCs w:val="22"/>
        </w:rPr>
      </w:pPr>
      <w:r w:rsidRPr="00826D24">
        <w:rPr>
          <w:rFonts w:ascii="Arial" w:hAnsi="Arial" w:cs="Arial"/>
          <w:sz w:val="22"/>
          <w:szCs w:val="22"/>
        </w:rPr>
        <w:t>Ing. Martin Berta</w:t>
      </w:r>
      <w:r w:rsidR="00792960" w:rsidRPr="00826D24">
        <w:rPr>
          <w:rFonts w:ascii="Arial" w:hAnsi="Arial" w:cs="Arial"/>
          <w:sz w:val="22"/>
          <w:szCs w:val="22"/>
        </w:rPr>
        <w:tab/>
        <w:t xml:space="preserve"> </w:t>
      </w:r>
      <w:r w:rsidR="00792960" w:rsidRPr="00826D24">
        <w:rPr>
          <w:rFonts w:ascii="Arial" w:hAnsi="Arial" w:cs="Arial"/>
          <w:sz w:val="22"/>
          <w:szCs w:val="22"/>
        </w:rPr>
        <w:tab/>
      </w:r>
      <w:r w:rsidR="00792960" w:rsidRPr="00826D24">
        <w:rPr>
          <w:rFonts w:ascii="Arial" w:hAnsi="Arial" w:cs="Arial"/>
          <w:sz w:val="22"/>
          <w:szCs w:val="22"/>
        </w:rPr>
        <w:tab/>
      </w:r>
      <w:r w:rsidR="00792960" w:rsidRPr="00826D24">
        <w:rPr>
          <w:rFonts w:ascii="Arial" w:hAnsi="Arial" w:cs="Arial"/>
          <w:sz w:val="22"/>
          <w:szCs w:val="22"/>
        </w:rPr>
        <w:tab/>
      </w:r>
      <w:r w:rsidR="00792960" w:rsidRPr="00826D24">
        <w:rPr>
          <w:rFonts w:ascii="Arial" w:hAnsi="Arial" w:cs="Arial"/>
          <w:sz w:val="22"/>
          <w:szCs w:val="22"/>
        </w:rPr>
        <w:tab/>
      </w:r>
      <w:r w:rsidR="00792960" w:rsidRPr="00826D24">
        <w:rPr>
          <w:rFonts w:ascii="Arial" w:hAnsi="Arial" w:cs="Arial"/>
          <w:sz w:val="22"/>
          <w:szCs w:val="22"/>
        </w:rPr>
        <w:tab/>
      </w:r>
      <w:r w:rsidR="00792960" w:rsidRPr="00373B90">
        <w:rPr>
          <w:rFonts w:ascii="Arial" w:hAnsi="Arial" w:cs="Arial"/>
          <w:sz w:val="22"/>
          <w:szCs w:val="22"/>
        </w:rPr>
        <w:t>1. Návrh uznesenia</w:t>
      </w:r>
    </w:p>
    <w:p w14:paraId="15907A13" w14:textId="52EA477C" w:rsidR="00792960" w:rsidRDefault="000C3516" w:rsidP="00792960">
      <w:pPr>
        <w:rPr>
          <w:rFonts w:ascii="Arial" w:hAnsi="Arial" w:cs="Arial"/>
          <w:sz w:val="22"/>
          <w:szCs w:val="22"/>
        </w:rPr>
      </w:pPr>
      <w:r w:rsidRPr="00373B90">
        <w:rPr>
          <w:rFonts w:ascii="Arial" w:hAnsi="Arial" w:cs="Arial"/>
          <w:sz w:val="22"/>
          <w:szCs w:val="22"/>
        </w:rPr>
        <w:t>podpredseda BSK</w:t>
      </w:r>
      <w:r w:rsidRPr="00373B90">
        <w:rPr>
          <w:rFonts w:ascii="Arial" w:hAnsi="Arial" w:cs="Arial"/>
          <w:sz w:val="22"/>
          <w:szCs w:val="22"/>
        </w:rPr>
        <w:tab/>
        <w:t xml:space="preserve"> </w:t>
      </w:r>
      <w:r w:rsidRPr="00373B90">
        <w:rPr>
          <w:rFonts w:ascii="Arial" w:hAnsi="Arial" w:cs="Arial"/>
          <w:sz w:val="22"/>
          <w:szCs w:val="22"/>
        </w:rPr>
        <w:tab/>
      </w:r>
      <w:r w:rsidRPr="00373B90">
        <w:rPr>
          <w:rFonts w:ascii="Arial" w:hAnsi="Arial" w:cs="Arial"/>
          <w:sz w:val="22"/>
          <w:szCs w:val="22"/>
        </w:rPr>
        <w:tab/>
      </w:r>
      <w:r w:rsidRPr="00373B90">
        <w:rPr>
          <w:rFonts w:ascii="Arial" w:hAnsi="Arial" w:cs="Arial"/>
          <w:sz w:val="22"/>
          <w:szCs w:val="22"/>
        </w:rPr>
        <w:tab/>
      </w:r>
      <w:r w:rsidRPr="00373B90">
        <w:rPr>
          <w:rFonts w:ascii="Arial" w:hAnsi="Arial" w:cs="Arial"/>
          <w:sz w:val="22"/>
          <w:szCs w:val="22"/>
        </w:rPr>
        <w:tab/>
      </w:r>
      <w:r w:rsidRPr="00373B90">
        <w:rPr>
          <w:rFonts w:ascii="Arial" w:hAnsi="Arial" w:cs="Arial"/>
          <w:sz w:val="22"/>
          <w:szCs w:val="22"/>
        </w:rPr>
        <w:tab/>
      </w:r>
      <w:r w:rsidR="00792960" w:rsidRPr="00373B90">
        <w:rPr>
          <w:rFonts w:ascii="Arial" w:hAnsi="Arial" w:cs="Arial"/>
          <w:sz w:val="22"/>
          <w:szCs w:val="22"/>
        </w:rPr>
        <w:t>2. Dôvodová správa</w:t>
      </w:r>
    </w:p>
    <w:p w14:paraId="1DFF517F" w14:textId="112135B3" w:rsidR="00C9494C" w:rsidRDefault="0064020F" w:rsidP="0079296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638FD">
        <w:rPr>
          <w:rFonts w:ascii="Arial" w:hAnsi="Arial" w:cs="Arial"/>
          <w:sz w:val="22"/>
          <w:szCs w:val="22"/>
        </w:rPr>
        <w:tab/>
      </w:r>
      <w:r w:rsidR="001638FD">
        <w:rPr>
          <w:rFonts w:ascii="Arial" w:hAnsi="Arial" w:cs="Arial"/>
          <w:sz w:val="22"/>
          <w:szCs w:val="22"/>
        </w:rPr>
        <w:tab/>
      </w:r>
      <w:r w:rsidR="001638FD">
        <w:rPr>
          <w:rFonts w:ascii="Arial" w:hAnsi="Arial" w:cs="Arial"/>
          <w:sz w:val="22"/>
          <w:szCs w:val="22"/>
        </w:rPr>
        <w:tab/>
      </w:r>
      <w:r w:rsidR="001638FD">
        <w:rPr>
          <w:rFonts w:ascii="Arial" w:hAnsi="Arial" w:cs="Arial"/>
          <w:sz w:val="22"/>
          <w:szCs w:val="22"/>
        </w:rPr>
        <w:tab/>
      </w:r>
      <w:r w:rsidR="001638FD">
        <w:rPr>
          <w:rFonts w:ascii="Arial" w:hAnsi="Arial" w:cs="Arial"/>
          <w:sz w:val="22"/>
          <w:szCs w:val="22"/>
        </w:rPr>
        <w:tab/>
      </w:r>
      <w:r>
        <w:rPr>
          <w:rFonts w:ascii="Arial" w:hAnsi="Arial" w:cs="Arial"/>
          <w:sz w:val="22"/>
          <w:szCs w:val="22"/>
        </w:rPr>
        <w:t>3. Materiál</w:t>
      </w:r>
      <w:r w:rsidR="00C9494C">
        <w:rPr>
          <w:rFonts w:ascii="Arial" w:hAnsi="Arial" w:cs="Arial"/>
          <w:sz w:val="22"/>
          <w:szCs w:val="22"/>
        </w:rPr>
        <w:t xml:space="preserve"> (na CD)</w:t>
      </w:r>
    </w:p>
    <w:p w14:paraId="4781A66B" w14:textId="3365954E" w:rsidR="004170A6" w:rsidRPr="00373B90" w:rsidRDefault="00C9494C" w:rsidP="0079296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 Stanoviská komisií</w:t>
      </w:r>
      <w:r w:rsidR="001638FD">
        <w:rPr>
          <w:rFonts w:ascii="Arial" w:hAnsi="Arial" w:cs="Arial"/>
          <w:sz w:val="22"/>
          <w:szCs w:val="22"/>
        </w:rPr>
        <w:tab/>
      </w:r>
      <w:r w:rsidR="001638FD">
        <w:rPr>
          <w:rFonts w:ascii="Arial" w:hAnsi="Arial" w:cs="Arial"/>
          <w:sz w:val="22"/>
          <w:szCs w:val="22"/>
        </w:rPr>
        <w:tab/>
      </w:r>
      <w:r w:rsidR="001638FD">
        <w:rPr>
          <w:rFonts w:ascii="Arial" w:hAnsi="Arial" w:cs="Arial"/>
          <w:sz w:val="22"/>
          <w:szCs w:val="22"/>
        </w:rPr>
        <w:tab/>
      </w:r>
    </w:p>
    <w:p w14:paraId="5E0DB545" w14:textId="06D59E97" w:rsidR="00792960" w:rsidRPr="00373B90" w:rsidRDefault="00792960" w:rsidP="00792960">
      <w:pPr>
        <w:ind w:left="5940" w:hanging="276"/>
        <w:rPr>
          <w:rFonts w:ascii="Arial" w:hAnsi="Arial" w:cs="Arial"/>
          <w:sz w:val="22"/>
          <w:szCs w:val="22"/>
        </w:rPr>
      </w:pPr>
    </w:p>
    <w:p w14:paraId="21E949EE" w14:textId="77777777" w:rsidR="00E0124C" w:rsidRDefault="00E0124C" w:rsidP="00792960">
      <w:pPr>
        <w:rPr>
          <w:rFonts w:ascii="Arial" w:hAnsi="Arial" w:cs="Arial"/>
          <w:sz w:val="22"/>
          <w:szCs w:val="22"/>
          <w:u w:val="single"/>
        </w:rPr>
      </w:pPr>
    </w:p>
    <w:p w14:paraId="0DC5FDB1" w14:textId="77777777" w:rsidR="00E0124C" w:rsidRDefault="00E0124C" w:rsidP="00792960">
      <w:pPr>
        <w:rPr>
          <w:rFonts w:ascii="Arial" w:hAnsi="Arial" w:cs="Arial"/>
          <w:sz w:val="22"/>
          <w:szCs w:val="22"/>
          <w:u w:val="single"/>
        </w:rPr>
      </w:pPr>
    </w:p>
    <w:p w14:paraId="4EEFFE31" w14:textId="77777777" w:rsidR="00792960" w:rsidRPr="00826D24" w:rsidRDefault="00792960" w:rsidP="00792960">
      <w:pPr>
        <w:rPr>
          <w:rFonts w:ascii="Arial" w:hAnsi="Arial" w:cs="Arial"/>
          <w:sz w:val="22"/>
          <w:szCs w:val="22"/>
          <w:u w:val="single"/>
        </w:rPr>
      </w:pPr>
      <w:r w:rsidRPr="00826D24">
        <w:rPr>
          <w:rFonts w:ascii="Arial" w:hAnsi="Arial" w:cs="Arial"/>
          <w:sz w:val="22"/>
          <w:szCs w:val="22"/>
          <w:u w:val="single"/>
        </w:rPr>
        <w:t>Zodpovedný:</w:t>
      </w:r>
    </w:p>
    <w:p w14:paraId="67F78DBE" w14:textId="77777777" w:rsidR="00792960" w:rsidRPr="00826D24" w:rsidRDefault="00792960" w:rsidP="00792960">
      <w:pPr>
        <w:rPr>
          <w:rFonts w:ascii="Arial" w:hAnsi="Arial" w:cs="Arial"/>
          <w:sz w:val="22"/>
          <w:szCs w:val="22"/>
        </w:rPr>
      </w:pPr>
    </w:p>
    <w:p w14:paraId="1F059A1A" w14:textId="77777777" w:rsidR="000C3516" w:rsidRPr="00826D24" w:rsidRDefault="000C3516" w:rsidP="000C3516">
      <w:pPr>
        <w:outlineLvl w:val="0"/>
        <w:rPr>
          <w:rFonts w:ascii="Arial" w:hAnsi="Arial" w:cs="Arial"/>
          <w:sz w:val="22"/>
          <w:szCs w:val="22"/>
        </w:rPr>
      </w:pPr>
      <w:r w:rsidRPr="00826D24">
        <w:rPr>
          <w:rFonts w:ascii="Arial" w:hAnsi="Arial" w:cs="Arial"/>
          <w:sz w:val="22"/>
          <w:szCs w:val="22"/>
        </w:rPr>
        <w:t>Ing. Marian Rovenský</w:t>
      </w:r>
    </w:p>
    <w:p w14:paraId="2147AD42" w14:textId="77777777" w:rsidR="0064020F" w:rsidRDefault="0064020F" w:rsidP="000C3516">
      <w:pPr>
        <w:rPr>
          <w:rFonts w:ascii="Arial" w:hAnsi="Arial" w:cs="Arial"/>
          <w:sz w:val="22"/>
          <w:szCs w:val="22"/>
        </w:rPr>
      </w:pPr>
      <w:r>
        <w:rPr>
          <w:rFonts w:ascii="Arial" w:hAnsi="Arial" w:cs="Arial"/>
          <w:sz w:val="22"/>
          <w:szCs w:val="22"/>
        </w:rPr>
        <w:t xml:space="preserve">predseda predstavenstva </w:t>
      </w:r>
    </w:p>
    <w:p w14:paraId="4C971D9E" w14:textId="54D64C43" w:rsidR="00792960" w:rsidRPr="00826D24" w:rsidRDefault="0064020F" w:rsidP="00792960">
      <w:pPr>
        <w:rPr>
          <w:rFonts w:ascii="Arial" w:hAnsi="Arial" w:cs="Arial"/>
          <w:sz w:val="22"/>
          <w:szCs w:val="22"/>
        </w:rPr>
      </w:pPr>
      <w:r w:rsidRPr="00826D24">
        <w:rPr>
          <w:rFonts w:ascii="Arial" w:hAnsi="Arial" w:cs="Arial"/>
          <w:sz w:val="22"/>
          <w:szCs w:val="22"/>
        </w:rPr>
        <w:t xml:space="preserve">Bratislavská integrovaná doprava, </w:t>
      </w:r>
      <w:r>
        <w:rPr>
          <w:rFonts w:ascii="Arial" w:hAnsi="Arial" w:cs="Arial"/>
          <w:sz w:val="22"/>
          <w:szCs w:val="22"/>
        </w:rPr>
        <w:t>a. s.</w:t>
      </w:r>
    </w:p>
    <w:p w14:paraId="5C582571" w14:textId="77777777" w:rsidR="00792960" w:rsidRDefault="00792960" w:rsidP="00792960">
      <w:pPr>
        <w:rPr>
          <w:rFonts w:ascii="Arial" w:hAnsi="Arial" w:cs="Arial"/>
          <w:sz w:val="22"/>
          <w:szCs w:val="22"/>
        </w:rPr>
      </w:pPr>
    </w:p>
    <w:p w14:paraId="3CA1413C" w14:textId="77777777" w:rsidR="00373B90" w:rsidRPr="00826D24" w:rsidRDefault="00373B90" w:rsidP="00792960">
      <w:pPr>
        <w:rPr>
          <w:rFonts w:ascii="Arial" w:hAnsi="Arial" w:cs="Arial"/>
          <w:sz w:val="22"/>
          <w:szCs w:val="22"/>
        </w:rPr>
      </w:pPr>
    </w:p>
    <w:p w14:paraId="115064D4" w14:textId="77777777" w:rsidR="000C3516" w:rsidRPr="00826D24" w:rsidRDefault="000C3516" w:rsidP="000C3516">
      <w:pPr>
        <w:rPr>
          <w:rFonts w:ascii="Arial" w:hAnsi="Arial" w:cs="Arial"/>
          <w:sz w:val="22"/>
          <w:szCs w:val="22"/>
          <w:u w:val="single"/>
        </w:rPr>
      </w:pPr>
      <w:r w:rsidRPr="00826D24">
        <w:rPr>
          <w:rFonts w:ascii="Arial" w:hAnsi="Arial" w:cs="Arial"/>
          <w:sz w:val="22"/>
          <w:szCs w:val="22"/>
          <w:u w:val="single"/>
        </w:rPr>
        <w:t>Spracovatelia:</w:t>
      </w:r>
    </w:p>
    <w:p w14:paraId="5438DE2C" w14:textId="77777777" w:rsidR="000C3516" w:rsidRPr="00826D24" w:rsidRDefault="000C3516" w:rsidP="000C3516">
      <w:pPr>
        <w:rPr>
          <w:rFonts w:ascii="Arial" w:hAnsi="Arial" w:cs="Arial"/>
          <w:sz w:val="22"/>
          <w:szCs w:val="22"/>
        </w:rPr>
      </w:pPr>
    </w:p>
    <w:p w14:paraId="24B030ED" w14:textId="77777777" w:rsidR="000C3516" w:rsidRPr="00826D24" w:rsidRDefault="000C3516" w:rsidP="000C3516">
      <w:pPr>
        <w:rPr>
          <w:rFonts w:ascii="Arial" w:hAnsi="Arial" w:cs="Arial"/>
          <w:sz w:val="22"/>
          <w:szCs w:val="22"/>
        </w:rPr>
      </w:pPr>
      <w:r w:rsidRPr="00826D24">
        <w:rPr>
          <w:rFonts w:ascii="Arial" w:hAnsi="Arial" w:cs="Arial"/>
          <w:sz w:val="22"/>
          <w:szCs w:val="22"/>
        </w:rPr>
        <w:t>Ing. Zuzana Horčíková</w:t>
      </w:r>
    </w:p>
    <w:p w14:paraId="1651C001" w14:textId="77777777" w:rsidR="000C3516" w:rsidRPr="00826D24" w:rsidRDefault="006A19AA" w:rsidP="000C3516">
      <w:pPr>
        <w:rPr>
          <w:rFonts w:ascii="Arial" w:hAnsi="Arial" w:cs="Arial"/>
          <w:sz w:val="22"/>
          <w:szCs w:val="22"/>
        </w:rPr>
      </w:pPr>
      <w:r>
        <w:rPr>
          <w:rFonts w:ascii="Arial" w:hAnsi="Arial" w:cs="Arial"/>
          <w:sz w:val="22"/>
          <w:szCs w:val="22"/>
        </w:rPr>
        <w:t xml:space="preserve">generálna </w:t>
      </w:r>
      <w:r w:rsidR="000C3516" w:rsidRPr="00826D24">
        <w:rPr>
          <w:rFonts w:ascii="Arial" w:hAnsi="Arial" w:cs="Arial"/>
          <w:sz w:val="22"/>
          <w:szCs w:val="22"/>
        </w:rPr>
        <w:t xml:space="preserve">riaditeľka </w:t>
      </w:r>
    </w:p>
    <w:p w14:paraId="593F99EA" w14:textId="52C32918" w:rsidR="000C3516" w:rsidRPr="00826D24" w:rsidRDefault="000C3516" w:rsidP="000C3516">
      <w:pPr>
        <w:rPr>
          <w:rFonts w:ascii="Arial" w:hAnsi="Arial" w:cs="Arial"/>
          <w:sz w:val="22"/>
          <w:szCs w:val="22"/>
        </w:rPr>
      </w:pPr>
      <w:r w:rsidRPr="00826D24">
        <w:rPr>
          <w:rFonts w:ascii="Arial" w:hAnsi="Arial" w:cs="Arial"/>
          <w:sz w:val="22"/>
          <w:szCs w:val="22"/>
        </w:rPr>
        <w:t xml:space="preserve">Bratislavská integrovaná doprava, </w:t>
      </w:r>
      <w:r w:rsidR="006F763E">
        <w:rPr>
          <w:rFonts w:ascii="Arial" w:hAnsi="Arial" w:cs="Arial"/>
          <w:sz w:val="22"/>
          <w:szCs w:val="22"/>
        </w:rPr>
        <w:t>a. s.</w:t>
      </w:r>
    </w:p>
    <w:p w14:paraId="78007EA5" w14:textId="77777777" w:rsidR="000C3516" w:rsidRPr="00826D24" w:rsidRDefault="000C3516" w:rsidP="000C3516">
      <w:pPr>
        <w:rPr>
          <w:rFonts w:ascii="Arial" w:hAnsi="Arial" w:cs="Arial"/>
          <w:sz w:val="22"/>
          <w:szCs w:val="22"/>
        </w:rPr>
      </w:pPr>
    </w:p>
    <w:p w14:paraId="46077B93" w14:textId="77777777" w:rsidR="000C3516" w:rsidRDefault="000C3516" w:rsidP="00792960">
      <w:pPr>
        <w:jc w:val="center"/>
        <w:rPr>
          <w:rFonts w:ascii="Arial" w:hAnsi="Arial" w:cs="Arial"/>
          <w:sz w:val="22"/>
          <w:szCs w:val="22"/>
        </w:rPr>
      </w:pPr>
    </w:p>
    <w:p w14:paraId="7E4C5BBB" w14:textId="77777777" w:rsidR="000C3516" w:rsidRDefault="000C3516" w:rsidP="00792960">
      <w:pPr>
        <w:jc w:val="center"/>
        <w:rPr>
          <w:rFonts w:ascii="Arial" w:hAnsi="Arial" w:cs="Arial"/>
          <w:sz w:val="22"/>
          <w:szCs w:val="22"/>
        </w:rPr>
      </w:pPr>
    </w:p>
    <w:p w14:paraId="52681ECD" w14:textId="77777777" w:rsidR="00826D24" w:rsidRPr="00826D24" w:rsidRDefault="00826D24" w:rsidP="00792960">
      <w:pPr>
        <w:jc w:val="center"/>
        <w:rPr>
          <w:rFonts w:ascii="Arial" w:hAnsi="Arial" w:cs="Arial"/>
          <w:sz w:val="22"/>
          <w:szCs w:val="22"/>
        </w:rPr>
      </w:pPr>
    </w:p>
    <w:p w14:paraId="28E197D3" w14:textId="77777777" w:rsidR="003F4A9C" w:rsidRDefault="003F4A9C" w:rsidP="00792960">
      <w:pPr>
        <w:jc w:val="center"/>
        <w:rPr>
          <w:rFonts w:ascii="Arial" w:hAnsi="Arial" w:cs="Arial"/>
          <w:sz w:val="22"/>
          <w:szCs w:val="22"/>
        </w:rPr>
      </w:pPr>
    </w:p>
    <w:p w14:paraId="606D3491" w14:textId="77777777" w:rsidR="003F4A9C" w:rsidRDefault="003F4A9C" w:rsidP="00792960">
      <w:pPr>
        <w:jc w:val="center"/>
        <w:rPr>
          <w:rFonts w:ascii="Arial" w:hAnsi="Arial" w:cs="Arial"/>
          <w:sz w:val="22"/>
          <w:szCs w:val="22"/>
        </w:rPr>
      </w:pPr>
    </w:p>
    <w:p w14:paraId="7F7280B3" w14:textId="5041F059" w:rsidR="00792960" w:rsidRPr="00826D24" w:rsidRDefault="000C3516" w:rsidP="00792960">
      <w:pPr>
        <w:jc w:val="center"/>
        <w:rPr>
          <w:rFonts w:ascii="Arial" w:hAnsi="Arial" w:cs="Arial"/>
          <w:sz w:val="22"/>
          <w:szCs w:val="22"/>
        </w:rPr>
      </w:pPr>
      <w:r w:rsidRPr="00826D24">
        <w:rPr>
          <w:rFonts w:ascii="Arial" w:hAnsi="Arial" w:cs="Arial"/>
          <w:sz w:val="22"/>
          <w:szCs w:val="22"/>
        </w:rPr>
        <w:t>B</w:t>
      </w:r>
      <w:r w:rsidR="00792960" w:rsidRPr="00826D24">
        <w:rPr>
          <w:rFonts w:ascii="Arial" w:hAnsi="Arial" w:cs="Arial"/>
          <w:sz w:val="22"/>
          <w:szCs w:val="22"/>
        </w:rPr>
        <w:t>ratislava</w:t>
      </w:r>
    </w:p>
    <w:p w14:paraId="7C066796" w14:textId="6FB2525E" w:rsidR="00826D24" w:rsidRDefault="0076763A" w:rsidP="004170A6">
      <w:pPr>
        <w:jc w:val="center"/>
        <w:rPr>
          <w:rFonts w:ascii="Arial" w:hAnsi="Arial" w:cs="Arial"/>
          <w:sz w:val="22"/>
          <w:szCs w:val="22"/>
        </w:rPr>
      </w:pPr>
      <w:r>
        <w:rPr>
          <w:rFonts w:ascii="Arial" w:hAnsi="Arial" w:cs="Arial"/>
          <w:sz w:val="22"/>
          <w:szCs w:val="22"/>
        </w:rPr>
        <w:t>máj</w:t>
      </w:r>
      <w:bookmarkStart w:id="0" w:name="_GoBack"/>
      <w:bookmarkEnd w:id="0"/>
      <w:r w:rsidR="00035162">
        <w:rPr>
          <w:rFonts w:ascii="Arial" w:hAnsi="Arial" w:cs="Arial"/>
          <w:sz w:val="22"/>
          <w:szCs w:val="22"/>
        </w:rPr>
        <w:t xml:space="preserve"> </w:t>
      </w:r>
      <w:r w:rsidR="00413C8F">
        <w:rPr>
          <w:rFonts w:ascii="Arial" w:hAnsi="Arial" w:cs="Arial"/>
          <w:sz w:val="22"/>
          <w:szCs w:val="22"/>
        </w:rPr>
        <w:t>201</w:t>
      </w:r>
      <w:r w:rsidR="00F0405E">
        <w:rPr>
          <w:rFonts w:ascii="Arial" w:hAnsi="Arial" w:cs="Arial"/>
          <w:sz w:val="22"/>
          <w:szCs w:val="22"/>
        </w:rPr>
        <w:t>7</w:t>
      </w:r>
      <w:r w:rsidR="00826D24">
        <w:rPr>
          <w:rFonts w:ascii="Arial" w:hAnsi="Arial" w:cs="Arial"/>
          <w:sz w:val="22"/>
          <w:szCs w:val="22"/>
        </w:rPr>
        <w:br w:type="page"/>
      </w:r>
    </w:p>
    <w:p w14:paraId="301BC545" w14:textId="77777777" w:rsidR="00792960" w:rsidRPr="00826D24" w:rsidRDefault="00792960" w:rsidP="00792960">
      <w:pPr>
        <w:jc w:val="center"/>
        <w:rPr>
          <w:rFonts w:ascii="Arial" w:hAnsi="Arial" w:cs="Arial"/>
          <w:spacing w:val="70"/>
        </w:rPr>
      </w:pPr>
      <w:r w:rsidRPr="00826D24">
        <w:rPr>
          <w:rFonts w:ascii="Arial" w:hAnsi="Arial" w:cs="Arial"/>
          <w:spacing w:val="70"/>
        </w:rPr>
        <w:lastRenderedPageBreak/>
        <w:t>Návrh uznesenia</w:t>
      </w:r>
    </w:p>
    <w:p w14:paraId="346BBCBD" w14:textId="77777777" w:rsidR="00792960" w:rsidRPr="00826D24" w:rsidRDefault="00792960" w:rsidP="00792960">
      <w:pPr>
        <w:jc w:val="center"/>
        <w:rPr>
          <w:rFonts w:ascii="Arial" w:hAnsi="Arial" w:cs="Arial"/>
          <w:sz w:val="20"/>
          <w:szCs w:val="20"/>
        </w:rPr>
      </w:pPr>
    </w:p>
    <w:p w14:paraId="24345BE1" w14:textId="77777777" w:rsidR="00792960" w:rsidRDefault="00792960" w:rsidP="00792960">
      <w:pPr>
        <w:jc w:val="center"/>
        <w:rPr>
          <w:rFonts w:ascii="Arial" w:hAnsi="Arial" w:cs="Arial"/>
        </w:rPr>
      </w:pPr>
    </w:p>
    <w:p w14:paraId="07B58994" w14:textId="77777777" w:rsidR="00792960" w:rsidRDefault="00792960" w:rsidP="00792960">
      <w:pPr>
        <w:jc w:val="center"/>
        <w:rPr>
          <w:rFonts w:ascii="Arial" w:hAnsi="Arial" w:cs="Arial"/>
        </w:rPr>
      </w:pPr>
    </w:p>
    <w:p w14:paraId="5A6BA724" w14:textId="5F43CEC0" w:rsidR="00792960" w:rsidRDefault="00A13572" w:rsidP="00792960">
      <w:pPr>
        <w:jc w:val="center"/>
        <w:rPr>
          <w:rFonts w:ascii="Arial" w:hAnsi="Arial" w:cs="Arial"/>
          <w:b/>
        </w:rPr>
      </w:pPr>
      <w:r>
        <w:rPr>
          <w:rFonts w:ascii="Arial" w:hAnsi="Arial" w:cs="Arial"/>
          <w:b/>
        </w:rPr>
        <w:t>UZNESENIE č. ........... / 201</w:t>
      </w:r>
      <w:r w:rsidR="0064020F">
        <w:rPr>
          <w:rFonts w:ascii="Arial" w:hAnsi="Arial" w:cs="Arial"/>
          <w:b/>
        </w:rPr>
        <w:t>7</w:t>
      </w:r>
    </w:p>
    <w:p w14:paraId="6EF7E8A4" w14:textId="3C8A680D" w:rsidR="00792960" w:rsidRDefault="00792960" w:rsidP="00792960">
      <w:pPr>
        <w:jc w:val="center"/>
        <w:rPr>
          <w:rFonts w:ascii="Arial" w:hAnsi="Arial" w:cs="Arial"/>
          <w:sz w:val="22"/>
          <w:szCs w:val="22"/>
        </w:rPr>
      </w:pPr>
      <w:r>
        <w:rPr>
          <w:rFonts w:ascii="Arial" w:hAnsi="Arial" w:cs="Arial"/>
          <w:sz w:val="22"/>
          <w:szCs w:val="22"/>
        </w:rPr>
        <w:t>zo dňa </w:t>
      </w:r>
      <w:r w:rsidR="00ED787A">
        <w:rPr>
          <w:rFonts w:ascii="Arial" w:hAnsi="Arial" w:cs="Arial"/>
          <w:sz w:val="22"/>
          <w:szCs w:val="22"/>
        </w:rPr>
        <w:t>12</w:t>
      </w:r>
      <w:r>
        <w:rPr>
          <w:rFonts w:ascii="Arial" w:hAnsi="Arial" w:cs="Arial"/>
          <w:sz w:val="22"/>
          <w:szCs w:val="22"/>
        </w:rPr>
        <w:t xml:space="preserve">. </w:t>
      </w:r>
      <w:r w:rsidR="00ED787A">
        <w:rPr>
          <w:rFonts w:ascii="Arial" w:hAnsi="Arial" w:cs="Arial"/>
          <w:sz w:val="22"/>
          <w:szCs w:val="22"/>
        </w:rPr>
        <w:t>05</w:t>
      </w:r>
      <w:r>
        <w:rPr>
          <w:rFonts w:ascii="Arial" w:hAnsi="Arial" w:cs="Arial"/>
          <w:sz w:val="22"/>
          <w:szCs w:val="22"/>
        </w:rPr>
        <w:t>. 201</w:t>
      </w:r>
      <w:r w:rsidR="0064020F">
        <w:rPr>
          <w:rFonts w:ascii="Arial" w:hAnsi="Arial" w:cs="Arial"/>
          <w:sz w:val="22"/>
          <w:szCs w:val="22"/>
        </w:rPr>
        <w:t>7</w:t>
      </w:r>
    </w:p>
    <w:p w14:paraId="37A4D03E" w14:textId="77777777" w:rsidR="00792960" w:rsidRDefault="00792960" w:rsidP="00792960">
      <w:pPr>
        <w:jc w:val="center"/>
        <w:rPr>
          <w:rFonts w:ascii="Arial" w:hAnsi="Arial" w:cs="Arial"/>
        </w:rPr>
      </w:pPr>
    </w:p>
    <w:p w14:paraId="48D5AD52" w14:textId="77777777" w:rsidR="00792960" w:rsidRDefault="00792960" w:rsidP="00792960">
      <w:pPr>
        <w:jc w:val="center"/>
        <w:rPr>
          <w:rFonts w:ascii="Arial" w:hAnsi="Arial" w:cs="Arial"/>
        </w:rPr>
      </w:pPr>
    </w:p>
    <w:p w14:paraId="4866F19D" w14:textId="77777777" w:rsidR="00792960" w:rsidRDefault="00792960" w:rsidP="00792960">
      <w:pPr>
        <w:jc w:val="center"/>
        <w:rPr>
          <w:rFonts w:ascii="Arial" w:hAnsi="Arial" w:cs="Arial"/>
        </w:rPr>
      </w:pPr>
    </w:p>
    <w:p w14:paraId="304FF12C" w14:textId="77777777" w:rsidR="00792960" w:rsidRDefault="00792960" w:rsidP="00792960">
      <w:pPr>
        <w:jc w:val="center"/>
        <w:rPr>
          <w:rFonts w:ascii="Arial" w:hAnsi="Arial" w:cs="Arial"/>
        </w:rPr>
      </w:pPr>
    </w:p>
    <w:p w14:paraId="05E3F65C" w14:textId="77777777" w:rsidR="00792960" w:rsidRDefault="00792960" w:rsidP="00792960">
      <w:pPr>
        <w:jc w:val="center"/>
        <w:rPr>
          <w:rFonts w:ascii="Arial" w:hAnsi="Arial" w:cs="Arial"/>
        </w:rPr>
      </w:pPr>
    </w:p>
    <w:p w14:paraId="7AF2969E" w14:textId="77777777" w:rsidR="0064020F" w:rsidRPr="00185899" w:rsidRDefault="0064020F" w:rsidP="0064020F">
      <w:pPr>
        <w:jc w:val="center"/>
        <w:rPr>
          <w:rFonts w:ascii="Arial" w:hAnsi="Arial" w:cs="Arial"/>
        </w:rPr>
      </w:pPr>
      <w:r w:rsidRPr="00185899">
        <w:rPr>
          <w:rFonts w:ascii="Arial" w:hAnsi="Arial" w:cs="Arial"/>
        </w:rPr>
        <w:t>Zastupiteľstvo Bratislavského samosprávneho kraja po prerokovaní materiálu</w:t>
      </w:r>
    </w:p>
    <w:p w14:paraId="4789374A" w14:textId="77777777" w:rsidR="0064020F" w:rsidRPr="00185899" w:rsidRDefault="0064020F" w:rsidP="0064020F">
      <w:pPr>
        <w:jc w:val="both"/>
        <w:rPr>
          <w:rFonts w:ascii="Arial" w:hAnsi="Arial" w:cs="Arial"/>
        </w:rPr>
      </w:pPr>
    </w:p>
    <w:p w14:paraId="761AF084" w14:textId="05ACA4F0" w:rsidR="0064020F" w:rsidRDefault="0064020F" w:rsidP="0064020F">
      <w:pPr>
        <w:jc w:val="center"/>
        <w:rPr>
          <w:rFonts w:ascii="Arial" w:hAnsi="Arial" w:cs="Arial"/>
          <w:b/>
          <w:spacing w:val="70"/>
        </w:rPr>
      </w:pPr>
      <w:r>
        <w:rPr>
          <w:rFonts w:ascii="Arial" w:hAnsi="Arial" w:cs="Arial"/>
          <w:b/>
          <w:spacing w:val="70"/>
        </w:rPr>
        <w:t xml:space="preserve">A. </w:t>
      </w:r>
      <w:r w:rsidR="00ED787A">
        <w:rPr>
          <w:rFonts w:ascii="Arial" w:hAnsi="Arial" w:cs="Arial"/>
          <w:b/>
          <w:spacing w:val="70"/>
        </w:rPr>
        <w:t>schvaľuje</w:t>
      </w:r>
    </w:p>
    <w:p w14:paraId="0289E19B" w14:textId="77777777" w:rsidR="0064020F" w:rsidRDefault="0064020F" w:rsidP="0064020F">
      <w:pPr>
        <w:jc w:val="center"/>
        <w:rPr>
          <w:rFonts w:ascii="Arial" w:hAnsi="Arial" w:cs="Arial"/>
          <w:sz w:val="22"/>
          <w:szCs w:val="22"/>
        </w:rPr>
      </w:pPr>
    </w:p>
    <w:p w14:paraId="7EA0AF47" w14:textId="77777777" w:rsidR="0064020F" w:rsidRPr="00826D24" w:rsidRDefault="0064020F" w:rsidP="0064020F">
      <w:pPr>
        <w:jc w:val="center"/>
        <w:rPr>
          <w:rFonts w:ascii="Arial" w:hAnsi="Arial" w:cs="Arial"/>
          <w:sz w:val="22"/>
          <w:szCs w:val="22"/>
        </w:rPr>
      </w:pPr>
    </w:p>
    <w:p w14:paraId="1BD296CB" w14:textId="77777777" w:rsidR="00ED787A" w:rsidRPr="00A51C2F" w:rsidRDefault="00ED787A" w:rsidP="00ED787A">
      <w:pPr>
        <w:jc w:val="both"/>
        <w:rPr>
          <w:rFonts w:ascii="Arial" w:hAnsi="Arial" w:cs="Arial"/>
          <w:sz w:val="22"/>
          <w:szCs w:val="22"/>
        </w:rPr>
      </w:pPr>
      <w:r>
        <w:rPr>
          <w:rFonts w:ascii="Arial" w:hAnsi="Arial" w:cs="Arial"/>
          <w:sz w:val="22"/>
          <w:szCs w:val="22"/>
        </w:rPr>
        <w:t>strategický dokument Plán dopravnej obslužnosti Bratislavského kraja, na základe ktorého sa budú vykonávať zmeny v dopravnej obslužnosti podľa stanoveného harmonogramu.</w:t>
      </w:r>
    </w:p>
    <w:p w14:paraId="1188F236" w14:textId="77777777" w:rsidR="0064020F" w:rsidRDefault="0064020F" w:rsidP="00D823C6">
      <w:pPr>
        <w:rPr>
          <w:rFonts w:ascii="Arial" w:hAnsi="Arial" w:cs="Arial"/>
          <w:b/>
          <w:spacing w:val="70"/>
          <w:sz w:val="22"/>
          <w:szCs w:val="22"/>
        </w:rPr>
      </w:pPr>
    </w:p>
    <w:p w14:paraId="4DC0BDEF" w14:textId="77777777" w:rsidR="0064020F" w:rsidRPr="00826D24" w:rsidRDefault="0064020F" w:rsidP="0064020F">
      <w:pPr>
        <w:jc w:val="center"/>
        <w:rPr>
          <w:rFonts w:ascii="Arial" w:hAnsi="Arial" w:cs="Arial"/>
          <w:b/>
          <w:spacing w:val="70"/>
          <w:sz w:val="22"/>
          <w:szCs w:val="22"/>
        </w:rPr>
      </w:pPr>
    </w:p>
    <w:p w14:paraId="76435C21" w14:textId="0308E627" w:rsidR="0064020F" w:rsidRDefault="0064020F" w:rsidP="0064020F">
      <w:pPr>
        <w:jc w:val="center"/>
        <w:rPr>
          <w:rFonts w:ascii="Arial" w:hAnsi="Arial" w:cs="Arial"/>
          <w:b/>
          <w:spacing w:val="70"/>
        </w:rPr>
      </w:pPr>
      <w:r>
        <w:rPr>
          <w:rFonts w:ascii="Arial" w:hAnsi="Arial" w:cs="Arial"/>
          <w:b/>
          <w:spacing w:val="70"/>
        </w:rPr>
        <w:t xml:space="preserve">B. </w:t>
      </w:r>
      <w:r w:rsidR="00C9494C">
        <w:rPr>
          <w:rFonts w:ascii="Arial" w:hAnsi="Arial" w:cs="Arial"/>
          <w:b/>
          <w:spacing w:val="70"/>
        </w:rPr>
        <w:t>ukladá</w:t>
      </w:r>
    </w:p>
    <w:p w14:paraId="113243D2" w14:textId="77777777" w:rsidR="0064020F" w:rsidRPr="00F76ACD" w:rsidRDefault="0064020F" w:rsidP="0064020F">
      <w:pPr>
        <w:jc w:val="center"/>
        <w:rPr>
          <w:rFonts w:ascii="Arial" w:hAnsi="Arial" w:cs="Arial"/>
          <w:sz w:val="22"/>
          <w:szCs w:val="22"/>
        </w:rPr>
      </w:pPr>
    </w:p>
    <w:p w14:paraId="50607D12" w14:textId="77777777" w:rsidR="0064020F" w:rsidRPr="00F76ACD" w:rsidRDefault="0064020F" w:rsidP="0064020F">
      <w:pPr>
        <w:jc w:val="center"/>
        <w:rPr>
          <w:rFonts w:ascii="Arial" w:hAnsi="Arial" w:cs="Arial"/>
          <w:sz w:val="22"/>
          <w:szCs w:val="22"/>
        </w:rPr>
      </w:pPr>
    </w:p>
    <w:p w14:paraId="0C93FF60" w14:textId="7DA00309" w:rsidR="00D823C6" w:rsidRPr="00A51C2F" w:rsidRDefault="00D823C6" w:rsidP="00D823C6">
      <w:pPr>
        <w:jc w:val="both"/>
        <w:rPr>
          <w:rFonts w:ascii="Arial" w:hAnsi="Arial" w:cs="Arial"/>
          <w:sz w:val="22"/>
          <w:szCs w:val="22"/>
        </w:rPr>
      </w:pPr>
      <w:r>
        <w:rPr>
          <w:rFonts w:ascii="Arial" w:hAnsi="Arial" w:cs="Arial"/>
          <w:sz w:val="22"/>
          <w:szCs w:val="22"/>
        </w:rPr>
        <w:t>riaditeľ</w:t>
      </w:r>
      <w:r w:rsidR="00C9494C">
        <w:rPr>
          <w:rFonts w:ascii="Arial" w:hAnsi="Arial" w:cs="Arial"/>
          <w:sz w:val="22"/>
          <w:szCs w:val="22"/>
        </w:rPr>
        <w:t>ovi</w:t>
      </w:r>
      <w:r>
        <w:rPr>
          <w:rFonts w:ascii="Arial" w:hAnsi="Arial" w:cs="Arial"/>
          <w:sz w:val="22"/>
          <w:szCs w:val="22"/>
        </w:rPr>
        <w:t xml:space="preserve"> Úradu Bratislavského samosprávneho kraja v zmysle bodu A</w:t>
      </w:r>
      <w:r w:rsidRPr="00A51C2F">
        <w:rPr>
          <w:rFonts w:ascii="Arial" w:hAnsi="Arial" w:cs="Arial"/>
          <w:sz w:val="22"/>
          <w:szCs w:val="22"/>
        </w:rPr>
        <w:t xml:space="preserve"> zapracovať finančné dopady do rozpočtu</w:t>
      </w:r>
      <w:r>
        <w:rPr>
          <w:rFonts w:ascii="Arial" w:hAnsi="Arial" w:cs="Arial"/>
          <w:sz w:val="22"/>
          <w:szCs w:val="22"/>
        </w:rPr>
        <w:t xml:space="preserve"> na </w:t>
      </w:r>
      <w:r w:rsidR="00C9494C">
        <w:rPr>
          <w:rFonts w:ascii="Arial" w:hAnsi="Arial" w:cs="Arial"/>
          <w:sz w:val="22"/>
          <w:szCs w:val="22"/>
        </w:rPr>
        <w:t>nasledujúce roky</w:t>
      </w:r>
      <w:r>
        <w:rPr>
          <w:rFonts w:ascii="Arial" w:hAnsi="Arial" w:cs="Arial"/>
          <w:sz w:val="22"/>
          <w:szCs w:val="22"/>
        </w:rPr>
        <w:t>.</w:t>
      </w:r>
    </w:p>
    <w:p w14:paraId="46B30C3D" w14:textId="77777777" w:rsidR="00D823C6" w:rsidRDefault="00D823C6" w:rsidP="00D823C6">
      <w:pPr>
        <w:jc w:val="right"/>
        <w:rPr>
          <w:rFonts w:ascii="Arial" w:hAnsi="Arial" w:cs="Arial"/>
          <w:sz w:val="22"/>
          <w:szCs w:val="22"/>
        </w:rPr>
      </w:pPr>
    </w:p>
    <w:p w14:paraId="24B8B0F6" w14:textId="6038C2FB" w:rsidR="00D823C6" w:rsidRDefault="00D823C6" w:rsidP="00D823C6">
      <w:pPr>
        <w:jc w:val="right"/>
        <w:rPr>
          <w:rFonts w:ascii="Arial" w:hAnsi="Arial" w:cs="Arial"/>
          <w:sz w:val="22"/>
          <w:szCs w:val="22"/>
        </w:rPr>
      </w:pPr>
      <w:r w:rsidRPr="00A51C2F">
        <w:rPr>
          <w:rFonts w:ascii="Arial" w:hAnsi="Arial" w:cs="Arial"/>
          <w:sz w:val="22"/>
          <w:szCs w:val="22"/>
        </w:rPr>
        <w:t xml:space="preserve">T: </w:t>
      </w:r>
      <w:r w:rsidR="00C9494C">
        <w:rPr>
          <w:rFonts w:ascii="Arial" w:hAnsi="Arial" w:cs="Arial"/>
          <w:sz w:val="22"/>
          <w:szCs w:val="22"/>
        </w:rPr>
        <w:t>priebežne</w:t>
      </w:r>
    </w:p>
    <w:p w14:paraId="20AAF4B5" w14:textId="0DC03600" w:rsidR="0064020F" w:rsidRDefault="0064020F" w:rsidP="0064020F">
      <w:pPr>
        <w:jc w:val="both"/>
        <w:rPr>
          <w:rFonts w:ascii="Arial" w:hAnsi="Arial" w:cs="Arial"/>
          <w:sz w:val="22"/>
          <w:szCs w:val="22"/>
        </w:rPr>
      </w:pPr>
    </w:p>
    <w:p w14:paraId="3FAA5356" w14:textId="77777777" w:rsidR="00826D24" w:rsidRDefault="00826D24">
      <w:pPr>
        <w:spacing w:after="200" w:line="276" w:lineRule="auto"/>
        <w:rPr>
          <w:rFonts w:ascii="Arial" w:hAnsi="Arial" w:cs="Arial"/>
          <w:sz w:val="22"/>
          <w:szCs w:val="22"/>
        </w:rPr>
      </w:pPr>
      <w:r>
        <w:rPr>
          <w:rFonts w:ascii="Arial" w:hAnsi="Arial" w:cs="Arial"/>
          <w:sz w:val="22"/>
          <w:szCs w:val="22"/>
        </w:rPr>
        <w:br w:type="page"/>
      </w:r>
    </w:p>
    <w:p w14:paraId="51BAF3AD" w14:textId="77777777" w:rsidR="0064020F" w:rsidRDefault="0064020F" w:rsidP="0064020F">
      <w:pPr>
        <w:jc w:val="center"/>
        <w:rPr>
          <w:rFonts w:ascii="Arial" w:hAnsi="Arial" w:cs="Arial"/>
          <w:b/>
        </w:rPr>
      </w:pPr>
      <w:r w:rsidRPr="0054613D">
        <w:rPr>
          <w:rFonts w:ascii="Arial" w:hAnsi="Arial" w:cs="Arial"/>
          <w:b/>
        </w:rPr>
        <w:lastRenderedPageBreak/>
        <w:t>D</w:t>
      </w:r>
      <w:r>
        <w:rPr>
          <w:rFonts w:ascii="Arial" w:hAnsi="Arial" w:cs="Arial"/>
          <w:b/>
        </w:rPr>
        <w:t xml:space="preserve"> </w:t>
      </w:r>
      <w:r w:rsidRPr="0054613D">
        <w:rPr>
          <w:rFonts w:ascii="Arial" w:hAnsi="Arial" w:cs="Arial"/>
          <w:b/>
        </w:rPr>
        <w:t>ô</w:t>
      </w:r>
      <w:r>
        <w:rPr>
          <w:rFonts w:ascii="Arial" w:hAnsi="Arial" w:cs="Arial"/>
          <w:b/>
        </w:rPr>
        <w:t xml:space="preserve"> </w:t>
      </w:r>
      <w:r w:rsidRPr="0054613D">
        <w:rPr>
          <w:rFonts w:ascii="Arial" w:hAnsi="Arial" w:cs="Arial"/>
          <w:b/>
        </w:rPr>
        <w:t>v</w:t>
      </w:r>
      <w:r>
        <w:rPr>
          <w:rFonts w:ascii="Arial" w:hAnsi="Arial" w:cs="Arial"/>
          <w:b/>
        </w:rPr>
        <w:t> </w:t>
      </w:r>
      <w:r w:rsidRPr="0054613D">
        <w:rPr>
          <w:rFonts w:ascii="Arial" w:hAnsi="Arial" w:cs="Arial"/>
          <w:b/>
        </w:rPr>
        <w:t>o</w:t>
      </w:r>
      <w:r>
        <w:rPr>
          <w:rFonts w:ascii="Arial" w:hAnsi="Arial" w:cs="Arial"/>
          <w:b/>
        </w:rPr>
        <w:t> </w:t>
      </w:r>
      <w:r w:rsidRPr="0054613D">
        <w:rPr>
          <w:rFonts w:ascii="Arial" w:hAnsi="Arial" w:cs="Arial"/>
          <w:b/>
        </w:rPr>
        <w:t>d</w:t>
      </w:r>
      <w:r>
        <w:rPr>
          <w:rFonts w:ascii="Arial" w:hAnsi="Arial" w:cs="Arial"/>
          <w:b/>
        </w:rPr>
        <w:t xml:space="preserve"> </w:t>
      </w:r>
      <w:r w:rsidRPr="0054613D">
        <w:rPr>
          <w:rFonts w:ascii="Arial" w:hAnsi="Arial" w:cs="Arial"/>
          <w:b/>
        </w:rPr>
        <w:t>o</w:t>
      </w:r>
      <w:r>
        <w:rPr>
          <w:rFonts w:ascii="Arial" w:hAnsi="Arial" w:cs="Arial"/>
          <w:b/>
        </w:rPr>
        <w:t> </w:t>
      </w:r>
      <w:r w:rsidRPr="0054613D">
        <w:rPr>
          <w:rFonts w:ascii="Arial" w:hAnsi="Arial" w:cs="Arial"/>
          <w:b/>
        </w:rPr>
        <w:t>v</w:t>
      </w:r>
      <w:r>
        <w:rPr>
          <w:rFonts w:ascii="Arial" w:hAnsi="Arial" w:cs="Arial"/>
          <w:b/>
        </w:rPr>
        <w:t xml:space="preserve"> </w:t>
      </w:r>
      <w:r w:rsidRPr="0054613D">
        <w:rPr>
          <w:rFonts w:ascii="Arial" w:hAnsi="Arial" w:cs="Arial"/>
          <w:b/>
        </w:rPr>
        <w:t xml:space="preserve">á </w:t>
      </w:r>
      <w:r>
        <w:rPr>
          <w:rFonts w:ascii="Arial" w:hAnsi="Arial" w:cs="Arial"/>
          <w:b/>
        </w:rPr>
        <w:t xml:space="preserve">  </w:t>
      </w:r>
      <w:r w:rsidRPr="0054613D">
        <w:rPr>
          <w:rFonts w:ascii="Arial" w:hAnsi="Arial" w:cs="Arial"/>
          <w:b/>
        </w:rPr>
        <w:t>s</w:t>
      </w:r>
      <w:r>
        <w:rPr>
          <w:rFonts w:ascii="Arial" w:hAnsi="Arial" w:cs="Arial"/>
          <w:b/>
        </w:rPr>
        <w:t> </w:t>
      </w:r>
      <w:r w:rsidRPr="0054613D">
        <w:rPr>
          <w:rFonts w:ascii="Arial" w:hAnsi="Arial" w:cs="Arial"/>
          <w:b/>
        </w:rPr>
        <w:t>p</w:t>
      </w:r>
      <w:r>
        <w:rPr>
          <w:rFonts w:ascii="Arial" w:hAnsi="Arial" w:cs="Arial"/>
          <w:b/>
        </w:rPr>
        <w:t xml:space="preserve"> </w:t>
      </w:r>
      <w:r w:rsidRPr="0054613D">
        <w:rPr>
          <w:rFonts w:ascii="Arial" w:hAnsi="Arial" w:cs="Arial"/>
          <w:b/>
        </w:rPr>
        <w:t>r</w:t>
      </w:r>
      <w:r>
        <w:rPr>
          <w:rFonts w:ascii="Arial" w:hAnsi="Arial" w:cs="Arial"/>
          <w:b/>
        </w:rPr>
        <w:t xml:space="preserve"> </w:t>
      </w:r>
      <w:r w:rsidRPr="0054613D">
        <w:rPr>
          <w:rFonts w:ascii="Arial" w:hAnsi="Arial" w:cs="Arial"/>
          <w:b/>
        </w:rPr>
        <w:t>á</w:t>
      </w:r>
      <w:r>
        <w:rPr>
          <w:rFonts w:ascii="Arial" w:hAnsi="Arial" w:cs="Arial"/>
          <w:b/>
        </w:rPr>
        <w:t xml:space="preserve"> </w:t>
      </w:r>
      <w:r w:rsidRPr="0054613D">
        <w:rPr>
          <w:rFonts w:ascii="Arial" w:hAnsi="Arial" w:cs="Arial"/>
          <w:b/>
        </w:rPr>
        <w:t>v</w:t>
      </w:r>
      <w:r>
        <w:rPr>
          <w:rFonts w:ascii="Arial" w:hAnsi="Arial" w:cs="Arial"/>
          <w:b/>
        </w:rPr>
        <w:t> </w:t>
      </w:r>
      <w:r w:rsidRPr="0054613D">
        <w:rPr>
          <w:rFonts w:ascii="Arial" w:hAnsi="Arial" w:cs="Arial"/>
          <w:b/>
        </w:rPr>
        <w:t>a</w:t>
      </w:r>
    </w:p>
    <w:p w14:paraId="0C2309DE" w14:textId="77777777" w:rsidR="0064020F" w:rsidRDefault="0064020F" w:rsidP="0064020F">
      <w:pPr>
        <w:rPr>
          <w:rFonts w:ascii="Arial" w:hAnsi="Arial" w:cs="Arial"/>
          <w:b/>
        </w:rPr>
      </w:pPr>
    </w:p>
    <w:p w14:paraId="373E5135" w14:textId="77777777" w:rsidR="0064020F" w:rsidRDefault="0064020F" w:rsidP="0064020F">
      <w:pPr>
        <w:rPr>
          <w:rFonts w:ascii="Arial" w:hAnsi="Arial" w:cs="Arial"/>
          <w:b/>
        </w:rPr>
      </w:pPr>
    </w:p>
    <w:p w14:paraId="6CBE23A3" w14:textId="77777777" w:rsidR="0064020F" w:rsidRDefault="0064020F" w:rsidP="0064020F">
      <w:pPr>
        <w:spacing w:line="276" w:lineRule="auto"/>
        <w:jc w:val="both"/>
        <w:rPr>
          <w:rFonts w:ascii="Arial" w:hAnsi="Arial" w:cs="Arial"/>
        </w:rPr>
      </w:pPr>
      <w:r>
        <w:rPr>
          <w:rFonts w:ascii="Arial" w:hAnsi="Arial" w:cs="Arial"/>
        </w:rPr>
        <w:t xml:space="preserve">           </w:t>
      </w:r>
    </w:p>
    <w:p w14:paraId="003122B8" w14:textId="77777777" w:rsidR="00651404" w:rsidRDefault="00651404" w:rsidP="00651404">
      <w:pPr>
        <w:spacing w:after="120"/>
        <w:jc w:val="both"/>
        <w:rPr>
          <w:rFonts w:ascii="Arial" w:hAnsi="Arial" w:cs="Arial"/>
        </w:rPr>
      </w:pPr>
      <w:r>
        <w:rPr>
          <w:rFonts w:ascii="Arial" w:hAnsi="Arial" w:cs="Arial"/>
        </w:rPr>
        <w:t>Spusteniu III. etapy Integrovaného dopravného systému v Bratislavskom kraji (ďalej len „IDS BK“) predchádzali intenzívne rokovania objednávateľov dopravných výkonov o jeho nastavení a následnom prevádzkovaní. V rámci týchto rokovaní bola spoločnosť BID, a. s. poverená tým, aby zabezpečila vypracovanie Plánu dopravnej obslužnosti Bratislavského kraja, ktorý stanoví optimálnu dopravnú obslužnosť jednotlivých obcí v regióne a odporučí vykonanie opatrení na zlepšenie atraktívnosti verejnej osobnej dopravy.</w:t>
      </w:r>
    </w:p>
    <w:p w14:paraId="780D9D65" w14:textId="77777777" w:rsidR="00651404" w:rsidRPr="00A96BA5" w:rsidRDefault="00651404" w:rsidP="00651404">
      <w:pPr>
        <w:spacing w:after="120"/>
        <w:jc w:val="both"/>
        <w:rPr>
          <w:rFonts w:ascii="Arial" w:hAnsi="Arial" w:cs="Arial"/>
        </w:rPr>
      </w:pPr>
      <w:r w:rsidRPr="00A96BA5">
        <w:rPr>
          <w:rFonts w:ascii="Arial" w:hAnsi="Arial" w:cs="Arial"/>
        </w:rPr>
        <w:t>Plán dopravnej obslužnosti je dokument, ktorý je podkladom na udeľovanie licencií, na</w:t>
      </w:r>
      <w:r w:rsidRPr="00C5749B">
        <w:rPr>
          <w:rFonts w:ascii="Arial" w:hAnsi="Arial" w:cs="Arial"/>
        </w:rPr>
        <w:t> </w:t>
      </w:r>
      <w:r w:rsidRPr="00A96BA5">
        <w:rPr>
          <w:rFonts w:ascii="Arial" w:hAnsi="Arial" w:cs="Arial"/>
        </w:rPr>
        <w:t>uzatváranie zmlúv o službách vo verejnom záujme, na spoluprácu s objednávateľom služieb železničnej dopravy a na zostavovanie cestovných poriadkov v pravidelnej osobnej doprave.</w:t>
      </w:r>
    </w:p>
    <w:p w14:paraId="3D5C2082" w14:textId="77777777" w:rsidR="00651404" w:rsidRPr="00A96BA5" w:rsidRDefault="00651404" w:rsidP="00651404">
      <w:pPr>
        <w:spacing w:after="120"/>
        <w:jc w:val="both"/>
        <w:rPr>
          <w:rFonts w:ascii="Arial" w:hAnsi="Arial" w:cs="Arial"/>
        </w:rPr>
      </w:pPr>
      <w:r w:rsidRPr="00A96BA5">
        <w:rPr>
          <w:rFonts w:ascii="Arial" w:hAnsi="Arial" w:cs="Arial"/>
        </w:rPr>
        <w:t>Plán dopravnej obslužnosti navrhuje taký model dopravnej obslužnosti, ktorý zabezpečí hospodárnosť prevádzky a bude rešpektovať oprávnené požiadavky cestujúcej verejnosti. Plán dopravnej obslužnosti prihliada na prevádzkové a kapacitné možnosti jednotlivých druhov dopravy a dopravcov.</w:t>
      </w:r>
    </w:p>
    <w:p w14:paraId="1257E3FC" w14:textId="77777777" w:rsidR="00651404" w:rsidRPr="00A96BA5" w:rsidRDefault="00651404" w:rsidP="00651404">
      <w:pPr>
        <w:spacing w:after="120"/>
        <w:jc w:val="both"/>
        <w:rPr>
          <w:rFonts w:ascii="Arial" w:hAnsi="Arial" w:cs="Arial"/>
        </w:rPr>
      </w:pPr>
      <w:r w:rsidRPr="00A96BA5">
        <w:rPr>
          <w:rFonts w:ascii="Arial" w:hAnsi="Arial" w:cs="Arial"/>
        </w:rPr>
        <w:t>Výber dodávateľa na spracovanie dokumentu Plán dopravnej obslužnosti Bratislavského kraja bol realizovaný podľa zákona č. 25/2006 Z. z. o verejnom obstarávaní a o zmene a doplnení niektorých zákonov v znení neskorších predpisov.</w:t>
      </w:r>
    </w:p>
    <w:p w14:paraId="50D1FC55" w14:textId="77777777" w:rsidR="00651404" w:rsidRPr="00A96BA5" w:rsidRDefault="00651404" w:rsidP="00651404">
      <w:pPr>
        <w:spacing w:after="120"/>
        <w:jc w:val="both"/>
        <w:rPr>
          <w:rFonts w:ascii="Arial" w:hAnsi="Arial" w:cs="Arial"/>
        </w:rPr>
      </w:pPr>
      <w:r w:rsidRPr="00A96BA5">
        <w:rPr>
          <w:rFonts w:ascii="Arial" w:hAnsi="Arial" w:cs="Arial"/>
        </w:rPr>
        <w:t>Spracovateľom dokumentu je Žilinská univerzita v Žiline, s ktorou bola dňa 18.07.2016 podpísaná zmluva o dielo. Členovia spracovateľského tímu z Katedry cestnej a mestskej dopravy a Katedry železničnej dopravy z Fakulty prevádzky a ekonomiky dopravy a spojov sú pod vedením prof. Ing. Jozefa Gnapa, PhD.</w:t>
      </w:r>
    </w:p>
    <w:p w14:paraId="22CA3527" w14:textId="77777777" w:rsidR="00651404" w:rsidRPr="00A96BA5" w:rsidRDefault="00651404" w:rsidP="00651404">
      <w:pPr>
        <w:spacing w:after="120"/>
        <w:jc w:val="both"/>
        <w:rPr>
          <w:rFonts w:ascii="Arial" w:hAnsi="Arial" w:cs="Arial"/>
        </w:rPr>
      </w:pPr>
      <w:r w:rsidRPr="00A96BA5">
        <w:rPr>
          <w:rFonts w:ascii="Arial" w:hAnsi="Arial" w:cs="Arial"/>
        </w:rPr>
        <w:t xml:space="preserve">Celková hodnota diela, dokumentu Plán dopravnej obslužnosti Bratislavského kraja, predstavuje sumu 191.520,- eur vrátane DPH. </w:t>
      </w:r>
    </w:p>
    <w:p w14:paraId="4265DEB4" w14:textId="77777777" w:rsidR="00651404" w:rsidRDefault="00651404" w:rsidP="00651404">
      <w:pPr>
        <w:spacing w:after="120"/>
        <w:jc w:val="both"/>
        <w:rPr>
          <w:rFonts w:ascii="Arial" w:hAnsi="Arial" w:cs="Arial"/>
        </w:rPr>
      </w:pPr>
      <w:r>
        <w:rPr>
          <w:rFonts w:ascii="Arial" w:hAnsi="Arial" w:cs="Arial"/>
        </w:rPr>
        <w:t>Dokument vychádza z údajov o intenzitách prepravných prúdov (počty cestujúcich) od</w:t>
      </w:r>
      <w:r w:rsidRPr="00C5749B">
        <w:rPr>
          <w:rFonts w:ascii="Arial" w:hAnsi="Arial" w:cs="Arial"/>
        </w:rPr>
        <w:t> </w:t>
      </w:r>
      <w:r>
        <w:rPr>
          <w:rFonts w:ascii="Arial" w:hAnsi="Arial" w:cs="Arial"/>
        </w:rPr>
        <w:t>dopravcov zabezpečujúcich výkony vo verejnom záujme v Bratislavskom kraji. Súčasťou dokumentu je aj spracovanie demografických charakteristík obyvateľstva na</w:t>
      </w:r>
      <w:r w:rsidRPr="00C5749B">
        <w:rPr>
          <w:rFonts w:ascii="Arial" w:hAnsi="Arial" w:cs="Arial"/>
        </w:rPr>
        <w:t> </w:t>
      </w:r>
      <w:r>
        <w:rPr>
          <w:rFonts w:ascii="Arial" w:hAnsi="Arial" w:cs="Arial"/>
        </w:rPr>
        <w:t>základe štatistických údajov, analýza súčasnej dopravnej siete a identifikácia nedostatkov v dostupnosti verejnej osobnej dopravy v kraji.</w:t>
      </w:r>
    </w:p>
    <w:p w14:paraId="591D6872" w14:textId="77777777" w:rsidR="00651404" w:rsidRDefault="00651404" w:rsidP="00651404">
      <w:pPr>
        <w:spacing w:after="120"/>
        <w:jc w:val="both"/>
        <w:rPr>
          <w:rFonts w:ascii="Arial" w:hAnsi="Arial" w:cs="Arial"/>
        </w:rPr>
      </w:pPr>
      <w:r>
        <w:rPr>
          <w:rFonts w:ascii="Arial" w:hAnsi="Arial" w:cs="Arial"/>
        </w:rPr>
        <w:t xml:space="preserve">Dokument je rozdelený na šesť etáp. </w:t>
      </w:r>
      <w:r w:rsidRPr="00184541">
        <w:rPr>
          <w:rFonts w:ascii="Arial" w:hAnsi="Arial" w:cs="Arial"/>
          <w:b/>
        </w:rPr>
        <w:t>Prvá etapa</w:t>
      </w:r>
      <w:r>
        <w:rPr>
          <w:rFonts w:ascii="Arial" w:hAnsi="Arial" w:cs="Arial"/>
        </w:rPr>
        <w:t xml:space="preserve"> obsahuje informácie o počte obyvateľov, informácie o ich rozložení na danom území, analýzu rozmiestnenia pracovných príležitostí v Bratislavskom kraji, analýzu rozmiestnenia zdravotníckych a školských zariadení a ich dopravnej obslužnosti.</w:t>
      </w:r>
    </w:p>
    <w:p w14:paraId="583CBB13" w14:textId="77777777" w:rsidR="00651404" w:rsidRDefault="00651404" w:rsidP="00651404">
      <w:pPr>
        <w:spacing w:after="120"/>
        <w:jc w:val="both"/>
        <w:rPr>
          <w:rFonts w:ascii="Arial" w:hAnsi="Arial" w:cs="Arial"/>
        </w:rPr>
      </w:pPr>
      <w:r w:rsidRPr="00184541">
        <w:rPr>
          <w:rFonts w:ascii="Arial" w:hAnsi="Arial" w:cs="Arial"/>
          <w:b/>
        </w:rPr>
        <w:t>Druhá etapa</w:t>
      </w:r>
      <w:r>
        <w:rPr>
          <w:rFonts w:ascii="Arial" w:hAnsi="Arial" w:cs="Arial"/>
        </w:rPr>
        <w:t xml:space="preserve"> analyzuje údaje o intenzitách a smerovaní prepravných prúdov, ktoré boli poskytnuté od dopravcov Slovak Lines, a. s., Železničná spoločnosť Slovensko, a. s., Dopravný podnik Bratislava, a. s., SAD Dunajská Streda, a. s., Arriva Trnava, a. s. a RegioJet, a. s. Súčasťou analýzy sú výstupy vo forme tabuliek s určením obsadenosti v daných profiloch, grafické znázornenia intenzít prepravných prúdov vo</w:t>
      </w:r>
      <w:r w:rsidRPr="00C5749B">
        <w:rPr>
          <w:rFonts w:ascii="Arial" w:hAnsi="Arial" w:cs="Arial"/>
        </w:rPr>
        <w:t> </w:t>
      </w:r>
      <w:r>
        <w:rPr>
          <w:rFonts w:ascii="Arial" w:hAnsi="Arial" w:cs="Arial"/>
        </w:rPr>
        <w:t>forme pentlogramov a identifikácia voľných kapacít vozidiel verejnej osobnej dopravy. Je základným podkladom pre návrh dopravnej obslužnosti.</w:t>
      </w:r>
    </w:p>
    <w:p w14:paraId="2CE1A3B1" w14:textId="77777777" w:rsidR="00651404" w:rsidRDefault="00651404" w:rsidP="00651404">
      <w:pPr>
        <w:spacing w:after="120"/>
        <w:jc w:val="both"/>
        <w:rPr>
          <w:rFonts w:ascii="Arial" w:hAnsi="Arial" w:cs="Arial"/>
        </w:rPr>
      </w:pPr>
      <w:r>
        <w:rPr>
          <w:rFonts w:ascii="Arial" w:hAnsi="Arial" w:cs="Arial"/>
        </w:rPr>
        <w:t xml:space="preserve">Cieľom </w:t>
      </w:r>
      <w:r w:rsidRPr="00184541">
        <w:rPr>
          <w:rFonts w:ascii="Arial" w:hAnsi="Arial" w:cs="Arial"/>
          <w:b/>
        </w:rPr>
        <w:t>tretej etapy</w:t>
      </w:r>
      <w:r>
        <w:rPr>
          <w:rFonts w:ascii="Arial" w:hAnsi="Arial" w:cs="Arial"/>
        </w:rPr>
        <w:t xml:space="preserve"> je návrh Štandardov dopravnej obslužnosti verejnej osobnej dopravy, tzn. stanovenie minimálneho rozsahu počtu spojov pre jednotlivé obce </w:t>
      </w:r>
      <w:r>
        <w:rPr>
          <w:rFonts w:ascii="Arial" w:hAnsi="Arial" w:cs="Arial"/>
        </w:rPr>
        <w:lastRenderedPageBreak/>
        <w:t>v závislosti od dostupnosti zdravotníckych a školských zariadení, počtu obyvateľov a počtu ekonomicky aktívnych obyvateľov.</w:t>
      </w:r>
    </w:p>
    <w:p w14:paraId="67518455" w14:textId="77777777" w:rsidR="00651404" w:rsidRDefault="00651404" w:rsidP="00651404">
      <w:pPr>
        <w:spacing w:after="120"/>
        <w:jc w:val="both"/>
        <w:rPr>
          <w:rFonts w:ascii="Arial" w:hAnsi="Arial" w:cs="Arial"/>
        </w:rPr>
      </w:pPr>
      <w:r w:rsidRPr="00184541">
        <w:rPr>
          <w:rFonts w:ascii="Arial" w:hAnsi="Arial" w:cs="Arial"/>
          <w:b/>
        </w:rPr>
        <w:t>Štvrtá etapa</w:t>
      </w:r>
      <w:r>
        <w:rPr>
          <w:rFonts w:ascii="Arial" w:hAnsi="Arial" w:cs="Arial"/>
        </w:rPr>
        <w:t xml:space="preserve"> je zameraná na prehodnotenie prevádzky prímestskej autobusovej dopravy, regionálnej železničnej dopravy a mestskej hromadnej dopravy na</w:t>
      </w:r>
      <w:r w:rsidRPr="00C5749B">
        <w:rPr>
          <w:rFonts w:ascii="Arial" w:hAnsi="Arial" w:cs="Arial"/>
        </w:rPr>
        <w:t> </w:t>
      </w:r>
      <w:r>
        <w:rPr>
          <w:rFonts w:ascii="Arial" w:hAnsi="Arial" w:cs="Arial"/>
        </w:rPr>
        <w:t>spoločných úsekoch. Súčasťou tejto časti dokumentu je určenie optimálnych prestupných časov medzi jednotlivými druhmi dopravy v prestupných miestach a stanovenie odporúčaní na zmenu dopravnej infraštruktúry smerujúcej k zlepšeniu prestupov.</w:t>
      </w:r>
    </w:p>
    <w:p w14:paraId="3D4E9236" w14:textId="77777777" w:rsidR="00651404" w:rsidRPr="00FE0777" w:rsidRDefault="00651404" w:rsidP="00651404">
      <w:pPr>
        <w:spacing w:after="120"/>
        <w:jc w:val="both"/>
        <w:rPr>
          <w:rFonts w:ascii="Arial" w:hAnsi="Arial" w:cs="Arial"/>
        </w:rPr>
      </w:pPr>
      <w:r w:rsidRPr="00184541">
        <w:rPr>
          <w:rFonts w:ascii="Arial" w:hAnsi="Arial" w:cs="Arial"/>
          <w:b/>
        </w:rPr>
        <w:t>Piata etapa</w:t>
      </w:r>
      <w:r>
        <w:rPr>
          <w:rFonts w:ascii="Arial" w:hAnsi="Arial" w:cs="Arial"/>
        </w:rPr>
        <w:t xml:space="preserve"> stanovuje návrhy na zmenu dopravnej obslužnosti v regióne, pričom počíta s postupným zavádzaním jednotlivých opatrení (rok 2018, 2022 a 2030). Obsahuje trasovanie liniek prímestskej autobusovej dopravy a regionálnej železničnej dopravy, intervaly liniek v jednotlivých obdobiach dňa (špička, sedlo) a vypočítané dopady vo forme zvýšenia objemu vozidlových kilometrov a vlakových kilometrov za</w:t>
      </w:r>
      <w:r w:rsidRPr="00C5749B">
        <w:rPr>
          <w:rFonts w:ascii="Arial" w:hAnsi="Arial" w:cs="Arial"/>
        </w:rPr>
        <w:t> </w:t>
      </w:r>
      <w:r>
        <w:rPr>
          <w:rFonts w:ascii="Arial" w:hAnsi="Arial" w:cs="Arial"/>
        </w:rPr>
        <w:t>rok.</w:t>
      </w:r>
    </w:p>
    <w:p w14:paraId="0A4BF996" w14:textId="77777777" w:rsidR="00651404" w:rsidRDefault="00651404" w:rsidP="00651404">
      <w:pPr>
        <w:spacing w:after="120"/>
        <w:jc w:val="both"/>
        <w:rPr>
          <w:rFonts w:ascii="Arial" w:hAnsi="Arial" w:cs="Arial"/>
        </w:rPr>
      </w:pPr>
      <w:r w:rsidRPr="00184541">
        <w:rPr>
          <w:rFonts w:ascii="Arial" w:hAnsi="Arial" w:cs="Arial"/>
          <w:b/>
        </w:rPr>
        <w:t>Šiesta etapa</w:t>
      </w:r>
      <w:r>
        <w:rPr>
          <w:rFonts w:ascii="Arial" w:hAnsi="Arial" w:cs="Arial"/>
        </w:rPr>
        <w:t xml:space="preserve"> stanovuje rozvojové plány IDS BK, najmä dopravnú a tarifnú integráciu nových území a nových druhov dopravy.</w:t>
      </w:r>
    </w:p>
    <w:p w14:paraId="1FB2AC69" w14:textId="77777777" w:rsidR="00651404" w:rsidRDefault="00651404" w:rsidP="00651404">
      <w:pPr>
        <w:spacing w:after="120"/>
        <w:jc w:val="both"/>
        <w:rPr>
          <w:rFonts w:ascii="Arial" w:hAnsi="Arial" w:cs="Arial"/>
          <w:b/>
          <w:color w:val="FF0000"/>
        </w:rPr>
      </w:pPr>
    </w:p>
    <w:p w14:paraId="248D0579" w14:textId="77777777" w:rsidR="00651404" w:rsidRPr="00C5749B" w:rsidRDefault="00651404" w:rsidP="00651404">
      <w:pPr>
        <w:spacing w:after="120"/>
        <w:jc w:val="both"/>
        <w:rPr>
          <w:rFonts w:ascii="Arial" w:hAnsi="Arial" w:cs="Arial"/>
          <w:b/>
        </w:rPr>
      </w:pPr>
      <w:r w:rsidRPr="00C5749B">
        <w:rPr>
          <w:rFonts w:ascii="Arial" w:hAnsi="Arial" w:cs="Arial"/>
          <w:b/>
        </w:rPr>
        <w:t>Charakteristika návrhu dopravnej obslužnosti</w:t>
      </w:r>
    </w:p>
    <w:p w14:paraId="5117B7D1" w14:textId="77777777" w:rsidR="00651404" w:rsidRPr="00C5749B" w:rsidRDefault="00651404" w:rsidP="00651404">
      <w:pPr>
        <w:spacing w:after="120"/>
        <w:jc w:val="both"/>
        <w:rPr>
          <w:rFonts w:ascii="Arial" w:hAnsi="Arial" w:cs="Arial"/>
        </w:rPr>
      </w:pPr>
      <w:r w:rsidRPr="00C5749B">
        <w:rPr>
          <w:rFonts w:ascii="Arial" w:hAnsi="Arial" w:cs="Arial"/>
        </w:rPr>
        <w:t>Etapa A (predpokladaný termín uvedenia do praxe od roku 2018): Návrh je odvodený od súčasného vedenia liniek s tým, že sa uvažuje s ich čiastočnou úpravou. Je to najmä z toho dôvodu, aby mohli dopravcovia prispôsobiť prevádzku na danom území bez radikálnych zmien a taktiež, aby si cestujúci navykli na nový systém obsluhy. Zlepšuje sa nadväznosť prímestskej autobusovej dopravy na železničnú dopravu. Veľmi dôležitým prvkom tohto návrhu je zavedenie intervalového/taktového cestovného poriadku, ktorý zabezpečí vznik dostatočnej ponuky pre cestujúcich aj v čase sedla a počas voľných dní (zvýšenie počtu spojov). Je to reakcia na návrhy obyvateľov Bratislavského kraja na základe realizovaného prieskumu.</w:t>
      </w:r>
    </w:p>
    <w:p w14:paraId="15F3A3FF" w14:textId="77777777" w:rsidR="00651404" w:rsidRPr="00C5749B" w:rsidRDefault="00651404" w:rsidP="00651404">
      <w:pPr>
        <w:spacing w:after="120"/>
        <w:jc w:val="both"/>
        <w:rPr>
          <w:rFonts w:ascii="Arial" w:hAnsi="Arial" w:cs="Arial"/>
        </w:rPr>
      </w:pPr>
      <w:r w:rsidRPr="00C5749B">
        <w:rPr>
          <w:rFonts w:ascii="Arial" w:hAnsi="Arial" w:cs="Arial"/>
        </w:rPr>
        <w:t>Etapa B (predpokladaný termín uvedenia do praxe približne od roku 2022): V tejto etape sa bude zmena obsluhy územia realizovať navýšením počtu spojov, keďže sa predpokladá, že etapa A priláka aj nových cestujúcich. Rok zavedenia tejto etapy je výhľadový, môže sa prehodnotiť na základe výsledkov vyhodnotenia etapy A. V rámci tohto návrhu sa skrátia intervaly medzi spojmi najmä na tých linkách, u ktorých sa predpokladá, že budú slúžiť pre rozvíjajúce sa územie. Počíta sa aj s integráciou individuálnych foriem dopravy a to najmä B+R a P+R.</w:t>
      </w:r>
    </w:p>
    <w:p w14:paraId="3EE723A9" w14:textId="77777777" w:rsidR="00651404" w:rsidRPr="00C5749B" w:rsidRDefault="00651404" w:rsidP="00651404">
      <w:pPr>
        <w:spacing w:after="120"/>
        <w:jc w:val="both"/>
        <w:rPr>
          <w:rFonts w:ascii="Arial" w:hAnsi="Arial" w:cs="Arial"/>
        </w:rPr>
      </w:pPr>
      <w:r w:rsidRPr="00C5749B">
        <w:rPr>
          <w:rFonts w:ascii="Arial" w:hAnsi="Arial" w:cs="Arial"/>
        </w:rPr>
        <w:t>Etapa C (predpokladaný termín uvedenia do praxe približne od roku 2030): Návrh počíta s úpravou liniek prímestskej autobusovej dopravy s dôrazom na skutočnosť, že nosným dopravným systémom je železničná doprava. Návrh predpokladá dobudovanie prestupných terminálov, parkovísk P+R a B+R pri železničných a autobusových zastávkach a počíta s ďalšími zlepšeniami dopravnej infraštruktúry. Z hľadiska kapacity železničnej infraštruktúry sa uvažuje s jej využitím na maximálnej úrovni.</w:t>
      </w:r>
    </w:p>
    <w:p w14:paraId="444FE2CF" w14:textId="77777777" w:rsidR="00651404" w:rsidRPr="00C5749B" w:rsidRDefault="00651404" w:rsidP="00651404">
      <w:pPr>
        <w:spacing w:after="120"/>
        <w:jc w:val="both"/>
        <w:rPr>
          <w:rFonts w:ascii="Arial" w:hAnsi="Arial" w:cs="Arial"/>
        </w:rPr>
      </w:pPr>
      <w:r w:rsidRPr="00C5749B">
        <w:rPr>
          <w:rFonts w:ascii="Arial" w:hAnsi="Arial" w:cs="Arial"/>
        </w:rPr>
        <w:t xml:space="preserve">Všetky návrhy počítajú so zlepšením ponuky počtu spojov pre jednotlivé obce, s predĺžením času poobednej špičky (zmena návykov cestujúcich) a na vybraných linkách aj s predĺžením prevádzkovej doby v zmysle navrhovaných štandardov (pridanie večerných spojov). Návrhy počítajú s jednotným cestovným poriadkom pre voľné dni (čiastočný nárast výkonov v súvislosti s rovnakou prevádzkou v sobotu </w:t>
      </w:r>
      <w:r w:rsidRPr="00C5749B">
        <w:rPr>
          <w:rFonts w:ascii="Arial" w:hAnsi="Arial" w:cs="Arial"/>
        </w:rPr>
        <w:lastRenderedPageBreak/>
        <w:t>a v nedeľu) a so zrušením zachádzok liniek MHD do obcí v okolí Bratislavy (linka 37 – Marianka, linka 525 – Chorvátsky Grob), pričom tieto výkony preberá prímestská autobusová doprava s pravidelnými odchodmi spojov v takte (ako MHD). Všetky tieto opatrenia smerujú k zlepšeniu atraktivity systému verejnej osobnej dopravy v kraji.</w:t>
      </w:r>
    </w:p>
    <w:p w14:paraId="47BD05ED" w14:textId="77777777" w:rsidR="00651404" w:rsidRPr="00C5749B" w:rsidRDefault="00651404" w:rsidP="00651404">
      <w:pPr>
        <w:spacing w:after="120"/>
        <w:jc w:val="both"/>
        <w:rPr>
          <w:rFonts w:ascii="Arial" w:hAnsi="Arial" w:cs="Arial"/>
          <w:b/>
        </w:rPr>
      </w:pPr>
      <w:r w:rsidRPr="00C5749B">
        <w:rPr>
          <w:rFonts w:ascii="Arial" w:hAnsi="Arial" w:cs="Arial"/>
          <w:b/>
        </w:rPr>
        <w:t>Zhodnotenie návrhov dopravnej obslužnosti</w:t>
      </w:r>
    </w:p>
    <w:p w14:paraId="39993010" w14:textId="77777777" w:rsidR="00651404" w:rsidRPr="00C5749B" w:rsidRDefault="00651404" w:rsidP="00651404">
      <w:pPr>
        <w:spacing w:after="120"/>
        <w:jc w:val="both"/>
        <w:rPr>
          <w:rFonts w:ascii="Arial" w:hAnsi="Arial" w:cs="Arial"/>
        </w:rPr>
      </w:pPr>
      <w:r w:rsidRPr="00C5749B">
        <w:rPr>
          <w:rFonts w:ascii="Arial" w:hAnsi="Arial" w:cs="Arial"/>
        </w:rPr>
        <w:t xml:space="preserve">Pri etape A počíta spracovateľ dokumentu s nárastom dopravných výkonov prímestskej autobusovej dopravy zo súčasných 12 503 115 vozidlových kilometrov za rok na navrhovaných </w:t>
      </w:r>
      <w:r w:rsidRPr="00C5749B">
        <w:rPr>
          <w:rFonts w:ascii="Arial" w:hAnsi="Arial" w:cs="Arial"/>
          <w:b/>
        </w:rPr>
        <w:t>15 092 309 vozidlových kilometrov za rok</w:t>
      </w:r>
      <w:r w:rsidRPr="00C5749B">
        <w:rPr>
          <w:rFonts w:ascii="Arial" w:hAnsi="Arial" w:cs="Arial"/>
        </w:rPr>
        <w:t xml:space="preserve">, čo predstavuje </w:t>
      </w:r>
      <w:r w:rsidRPr="00C5749B">
        <w:rPr>
          <w:rFonts w:ascii="Arial" w:hAnsi="Arial" w:cs="Arial"/>
          <w:b/>
        </w:rPr>
        <w:t>nárast o 21%</w:t>
      </w:r>
      <w:r w:rsidRPr="00C5749B">
        <w:rPr>
          <w:rFonts w:ascii="Arial" w:hAnsi="Arial" w:cs="Arial"/>
        </w:rPr>
        <w:t xml:space="preserve"> oproti súčasnému stavu (rozdiel 2 589 194 vozidlových kilometrov za rok).</w:t>
      </w:r>
    </w:p>
    <w:p w14:paraId="44D59CEB" w14:textId="77777777" w:rsidR="00651404" w:rsidRPr="00C5749B" w:rsidRDefault="00651404" w:rsidP="00651404">
      <w:pPr>
        <w:spacing w:after="120"/>
        <w:jc w:val="both"/>
        <w:rPr>
          <w:rFonts w:ascii="Arial" w:hAnsi="Arial" w:cs="Arial"/>
        </w:rPr>
      </w:pPr>
      <w:r w:rsidRPr="00C5749B">
        <w:rPr>
          <w:rFonts w:ascii="Arial" w:hAnsi="Arial" w:cs="Arial"/>
        </w:rPr>
        <w:t xml:space="preserve">Pri etape B počíta spracovateľ dokumentu s nárastom dopravných výkonov prímestskej autobusovej dopravy zo súčasných 12 503 115 vozidlových kilometrov za rok na navrhovaných </w:t>
      </w:r>
      <w:r w:rsidRPr="00C5749B">
        <w:rPr>
          <w:rFonts w:ascii="Arial" w:hAnsi="Arial" w:cs="Arial"/>
          <w:b/>
        </w:rPr>
        <w:t>17 915 479 vozidlových kilometrov za rok</w:t>
      </w:r>
      <w:r w:rsidRPr="00C5749B">
        <w:rPr>
          <w:rFonts w:ascii="Arial" w:hAnsi="Arial" w:cs="Arial"/>
        </w:rPr>
        <w:t xml:space="preserve">, čo predstavuje </w:t>
      </w:r>
      <w:r w:rsidRPr="00C5749B">
        <w:rPr>
          <w:rFonts w:ascii="Arial" w:hAnsi="Arial" w:cs="Arial"/>
          <w:b/>
        </w:rPr>
        <w:t>nárast o 43%</w:t>
      </w:r>
      <w:r w:rsidRPr="00C5749B">
        <w:rPr>
          <w:rFonts w:ascii="Arial" w:hAnsi="Arial" w:cs="Arial"/>
        </w:rPr>
        <w:t xml:space="preserve"> oproti súčasnému stavu (rozdiel 5 412 364 vozidlových kilometrov za rok).</w:t>
      </w:r>
    </w:p>
    <w:p w14:paraId="51F1CBAC" w14:textId="77777777" w:rsidR="00651404" w:rsidRPr="00C5749B" w:rsidRDefault="00651404" w:rsidP="00651404">
      <w:pPr>
        <w:spacing w:after="120"/>
        <w:jc w:val="both"/>
        <w:rPr>
          <w:rFonts w:ascii="Arial" w:hAnsi="Arial" w:cs="Arial"/>
        </w:rPr>
      </w:pPr>
      <w:r w:rsidRPr="00C5749B">
        <w:rPr>
          <w:rFonts w:ascii="Arial" w:hAnsi="Arial" w:cs="Arial"/>
        </w:rPr>
        <w:t xml:space="preserve">Pri etape C počíta spracovateľ dokumentu s nárastom dopravných výkonov prímestskej autobusovej dopravy zo súčasných 12 503 115 vozidlových kilometrov za rok na navrhovaných </w:t>
      </w:r>
      <w:r w:rsidRPr="00C5749B">
        <w:rPr>
          <w:rFonts w:ascii="Arial" w:hAnsi="Arial" w:cs="Arial"/>
          <w:b/>
        </w:rPr>
        <w:t>18 646 440 vozidlových kilometrov za rok</w:t>
      </w:r>
      <w:r w:rsidRPr="00C5749B">
        <w:rPr>
          <w:rFonts w:ascii="Arial" w:hAnsi="Arial" w:cs="Arial"/>
        </w:rPr>
        <w:t xml:space="preserve">, čo predstavuje </w:t>
      </w:r>
      <w:r w:rsidRPr="00C5749B">
        <w:rPr>
          <w:rFonts w:ascii="Arial" w:hAnsi="Arial" w:cs="Arial"/>
          <w:b/>
        </w:rPr>
        <w:t>nárast o 49%</w:t>
      </w:r>
      <w:r w:rsidRPr="00C5749B">
        <w:rPr>
          <w:rFonts w:ascii="Arial" w:hAnsi="Arial" w:cs="Arial"/>
        </w:rPr>
        <w:t xml:space="preserve"> oproti súčasnému stavu (rozdiel 6 143 325 vozidlových kilometrov za rok).</w:t>
      </w:r>
    </w:p>
    <w:p w14:paraId="441F5954" w14:textId="77777777" w:rsidR="00651404" w:rsidRPr="00C5749B" w:rsidRDefault="00651404" w:rsidP="00651404">
      <w:pPr>
        <w:spacing w:after="120"/>
        <w:jc w:val="both"/>
        <w:rPr>
          <w:rFonts w:ascii="Arial" w:hAnsi="Arial" w:cs="Arial"/>
        </w:rPr>
      </w:pPr>
      <w:r w:rsidRPr="00C5749B">
        <w:rPr>
          <w:rFonts w:ascii="Arial" w:hAnsi="Arial" w:cs="Arial"/>
        </w:rPr>
        <w:t>Nárast výkonov železničnej dopravy predpokladá spracovateľ dokumentu v etape A na úrovni 47%, v etape B na úrovni 72% a v etape C na úrovni 144%.</w:t>
      </w:r>
    </w:p>
    <w:p w14:paraId="01B2CF2D" w14:textId="77777777" w:rsidR="00651404" w:rsidRPr="00C5749B" w:rsidRDefault="00651404" w:rsidP="00651404">
      <w:pPr>
        <w:spacing w:after="120"/>
        <w:jc w:val="both"/>
        <w:rPr>
          <w:rFonts w:ascii="Arial" w:hAnsi="Arial" w:cs="Arial"/>
        </w:rPr>
      </w:pPr>
      <w:r w:rsidRPr="00C5749B">
        <w:rPr>
          <w:rFonts w:ascii="Arial" w:hAnsi="Arial" w:cs="Arial"/>
        </w:rPr>
        <w:t>Vo výpočtoch dopravných výkonov nie sú zohľadnené obmedzenia počas školských prázdnin, z tohto dôvodu možno počítať s </w:t>
      </w:r>
      <w:r w:rsidRPr="00C5749B">
        <w:rPr>
          <w:rFonts w:ascii="Arial" w:hAnsi="Arial" w:cs="Arial"/>
          <w:b/>
        </w:rPr>
        <w:t>poklesom vypočítaných dopravných výkonov o 3 - 4%.</w:t>
      </w:r>
      <w:r w:rsidRPr="00C5749B">
        <w:rPr>
          <w:rFonts w:ascii="Arial" w:hAnsi="Arial" w:cs="Arial"/>
        </w:rPr>
        <w:t xml:space="preserve"> Rovnako nie sú vo výkonoch započítané rozličné počty pracovných dní a voľných dní v roku 2016 a 2018 (výpočet je nastavený podľa počtu pracovných a voľných dní v roku 2016).</w:t>
      </w:r>
    </w:p>
    <w:p w14:paraId="43C294CA" w14:textId="77777777" w:rsidR="00651404" w:rsidRPr="00C5749B" w:rsidRDefault="00651404" w:rsidP="00651404">
      <w:pPr>
        <w:spacing w:after="120"/>
        <w:jc w:val="both"/>
        <w:rPr>
          <w:rFonts w:ascii="Arial" w:hAnsi="Arial" w:cs="Arial"/>
        </w:rPr>
      </w:pPr>
      <w:r w:rsidRPr="00C5749B">
        <w:rPr>
          <w:rFonts w:ascii="Arial" w:hAnsi="Arial" w:cs="Arial"/>
        </w:rPr>
        <w:t>Finančné vyjadrenie nárastu výkonov je vzhľadom na metodiku výpočtu príspevku na úhradu priamo závislé od tržieb. Tržby v systéme sú závislé od dopytu po verejnej osobnej doprave a na dopyt má pozitívny vplyv nárast ponuky. Preto je predpoklad, že pri zvýšení objemu dopravných výkonov narastie aj počet prepravených cestujúcich a tým aj tržby.</w:t>
      </w:r>
    </w:p>
    <w:p w14:paraId="1AD2E001" w14:textId="77777777" w:rsidR="00651404" w:rsidRPr="00C5749B" w:rsidRDefault="00651404" w:rsidP="00651404">
      <w:pPr>
        <w:spacing w:after="120"/>
        <w:jc w:val="both"/>
        <w:rPr>
          <w:rFonts w:ascii="Arial" w:hAnsi="Arial" w:cs="Arial"/>
        </w:rPr>
      </w:pPr>
      <w:r w:rsidRPr="00C5749B">
        <w:rPr>
          <w:rFonts w:ascii="Arial" w:hAnsi="Arial" w:cs="Arial"/>
        </w:rPr>
        <w:t>Podľa zahraničných štúdií len samotným nárastom ponuky počtu miestokilometrov o 1% došlo z krátkodobého hľadiska (1-2 roky) k nárastu počtu prepravených cestujúcich o 0,32%, z dlhodobého hľadiska (12-15 rokov a viac) došlo k nárastu počtu prepravených cestujúcich o 0,56%.</w:t>
      </w:r>
    </w:p>
    <w:p w14:paraId="26E84FF2" w14:textId="77777777" w:rsidR="00651404" w:rsidRPr="00C5749B" w:rsidRDefault="00651404" w:rsidP="00651404">
      <w:pPr>
        <w:spacing w:after="120"/>
        <w:jc w:val="both"/>
        <w:rPr>
          <w:rFonts w:ascii="Arial" w:hAnsi="Arial" w:cs="Arial"/>
        </w:rPr>
      </w:pPr>
      <w:r w:rsidRPr="00C5749B">
        <w:rPr>
          <w:rFonts w:ascii="Arial" w:hAnsi="Arial" w:cs="Arial"/>
        </w:rPr>
        <w:t>Len samotným zvýšením frekvencie spojov o 1% došlo z krátkodobého hľadiska k nárastu počtu prepravených cestujúcich o 0,18%, z dlhodobého hľadiska došlo k nárastu počtu prepravených cestujúcich o 0,33%.</w:t>
      </w:r>
    </w:p>
    <w:p w14:paraId="29FA175B" w14:textId="77777777" w:rsidR="00651404" w:rsidRDefault="00651404">
      <w:pPr>
        <w:spacing w:after="200" w:line="276" w:lineRule="auto"/>
        <w:rPr>
          <w:rFonts w:ascii="Arial" w:hAnsi="Arial" w:cs="Arial"/>
        </w:rPr>
      </w:pPr>
      <w:r>
        <w:rPr>
          <w:rFonts w:ascii="Arial" w:hAnsi="Arial" w:cs="Arial"/>
        </w:rPr>
        <w:br w:type="page"/>
      </w:r>
    </w:p>
    <w:p w14:paraId="394FB8A0" w14:textId="583CA7B1" w:rsidR="00651404" w:rsidRPr="00C5749B" w:rsidRDefault="00651404" w:rsidP="00651404">
      <w:pPr>
        <w:spacing w:after="120"/>
        <w:jc w:val="both"/>
        <w:rPr>
          <w:rFonts w:ascii="Arial" w:hAnsi="Arial" w:cs="Arial"/>
        </w:rPr>
      </w:pPr>
      <w:r w:rsidRPr="00C5749B">
        <w:rPr>
          <w:rFonts w:ascii="Arial" w:hAnsi="Arial" w:cs="Arial"/>
        </w:rPr>
        <w:lastRenderedPageBreak/>
        <w:t>Pre potreby orientačného výpočtu, ktorý nezohľadňuje budúce zmeny v správaní cestujúcich, sme použili hodnotu 0,70 Eur/km. Dopady z jednotlivých etáp sú uvedené v nasledujúcej tabuľke:</w:t>
      </w:r>
    </w:p>
    <w:tbl>
      <w:tblPr>
        <w:tblStyle w:val="Mriekatabuky"/>
        <w:tblW w:w="0" w:type="auto"/>
        <w:jc w:val="center"/>
        <w:tblLook w:val="04A0" w:firstRow="1" w:lastRow="0" w:firstColumn="1" w:lastColumn="0" w:noHBand="0" w:noVBand="1"/>
      </w:tblPr>
      <w:tblGrid>
        <w:gridCol w:w="1413"/>
        <w:gridCol w:w="3824"/>
        <w:gridCol w:w="3825"/>
      </w:tblGrid>
      <w:tr w:rsidR="00651404" w:rsidRPr="00C5749B" w14:paraId="41CC7E73" w14:textId="77777777" w:rsidTr="009E5918">
        <w:trPr>
          <w:trHeight w:val="340"/>
          <w:jc w:val="center"/>
        </w:trPr>
        <w:tc>
          <w:tcPr>
            <w:tcW w:w="1413" w:type="dxa"/>
            <w:vAlign w:val="center"/>
          </w:tcPr>
          <w:p w14:paraId="426AB76E" w14:textId="77777777" w:rsidR="00651404" w:rsidRPr="00C5749B" w:rsidRDefault="00651404" w:rsidP="009E5918">
            <w:pPr>
              <w:jc w:val="center"/>
              <w:rPr>
                <w:rFonts w:ascii="Arial" w:hAnsi="Arial" w:cs="Arial"/>
              </w:rPr>
            </w:pPr>
          </w:p>
        </w:tc>
        <w:tc>
          <w:tcPr>
            <w:tcW w:w="3824" w:type="dxa"/>
            <w:vAlign w:val="center"/>
          </w:tcPr>
          <w:p w14:paraId="130BC09E" w14:textId="77777777" w:rsidR="00651404" w:rsidRPr="00C5749B" w:rsidRDefault="00651404" w:rsidP="009E5918">
            <w:pPr>
              <w:jc w:val="center"/>
              <w:rPr>
                <w:rFonts w:ascii="Arial" w:hAnsi="Arial" w:cs="Arial"/>
                <w:b/>
              </w:rPr>
            </w:pPr>
            <w:r w:rsidRPr="00C5749B">
              <w:rPr>
                <w:rFonts w:ascii="Arial" w:hAnsi="Arial" w:cs="Arial"/>
                <w:b/>
              </w:rPr>
              <w:t>Nárast objemu vozkm PAD</w:t>
            </w:r>
          </w:p>
        </w:tc>
        <w:tc>
          <w:tcPr>
            <w:tcW w:w="3825" w:type="dxa"/>
            <w:vAlign w:val="center"/>
          </w:tcPr>
          <w:p w14:paraId="44E93614" w14:textId="77777777" w:rsidR="00651404" w:rsidRPr="00C5749B" w:rsidRDefault="00651404" w:rsidP="009E5918">
            <w:pPr>
              <w:jc w:val="center"/>
              <w:rPr>
                <w:rFonts w:ascii="Arial" w:hAnsi="Arial" w:cs="Arial"/>
                <w:b/>
              </w:rPr>
            </w:pPr>
            <w:r w:rsidRPr="00C5749B">
              <w:rPr>
                <w:rFonts w:ascii="Arial" w:hAnsi="Arial" w:cs="Arial"/>
                <w:b/>
              </w:rPr>
              <w:t>Orientačný finančný dopad</w:t>
            </w:r>
          </w:p>
        </w:tc>
      </w:tr>
      <w:tr w:rsidR="00651404" w:rsidRPr="00C5749B" w14:paraId="1E9FDAE8" w14:textId="77777777" w:rsidTr="009E5918">
        <w:trPr>
          <w:trHeight w:val="340"/>
          <w:jc w:val="center"/>
        </w:trPr>
        <w:tc>
          <w:tcPr>
            <w:tcW w:w="1413" w:type="dxa"/>
            <w:vAlign w:val="center"/>
          </w:tcPr>
          <w:p w14:paraId="5D1BCBCE" w14:textId="77777777" w:rsidR="00651404" w:rsidRPr="00C5749B" w:rsidRDefault="00651404" w:rsidP="009E5918">
            <w:pPr>
              <w:jc w:val="center"/>
              <w:rPr>
                <w:rFonts w:ascii="Arial" w:hAnsi="Arial" w:cs="Arial"/>
                <w:b/>
              </w:rPr>
            </w:pPr>
            <w:r w:rsidRPr="00C5749B">
              <w:rPr>
                <w:rFonts w:ascii="Arial" w:hAnsi="Arial" w:cs="Arial"/>
                <w:b/>
              </w:rPr>
              <w:t>Etapa A</w:t>
            </w:r>
          </w:p>
        </w:tc>
        <w:tc>
          <w:tcPr>
            <w:tcW w:w="3824" w:type="dxa"/>
            <w:vAlign w:val="center"/>
          </w:tcPr>
          <w:p w14:paraId="0E66895D" w14:textId="77777777" w:rsidR="00651404" w:rsidRPr="00C5749B" w:rsidRDefault="00651404" w:rsidP="009E5918">
            <w:pPr>
              <w:jc w:val="center"/>
              <w:rPr>
                <w:rFonts w:ascii="Arial" w:hAnsi="Arial" w:cs="Arial"/>
              </w:rPr>
            </w:pPr>
            <w:r w:rsidRPr="00C5749B">
              <w:rPr>
                <w:rFonts w:ascii="Arial" w:hAnsi="Arial" w:cs="Arial"/>
              </w:rPr>
              <w:t>2 589 194</w:t>
            </w:r>
          </w:p>
        </w:tc>
        <w:tc>
          <w:tcPr>
            <w:tcW w:w="3825" w:type="dxa"/>
            <w:vAlign w:val="center"/>
          </w:tcPr>
          <w:p w14:paraId="0EB05B00" w14:textId="77777777" w:rsidR="00651404" w:rsidRPr="00C5749B" w:rsidRDefault="00651404" w:rsidP="009E5918">
            <w:pPr>
              <w:jc w:val="center"/>
              <w:rPr>
                <w:rFonts w:ascii="Arial" w:hAnsi="Arial" w:cs="Arial"/>
              </w:rPr>
            </w:pPr>
            <w:r w:rsidRPr="00C5749B">
              <w:rPr>
                <w:rFonts w:ascii="Arial" w:hAnsi="Arial" w:cs="Arial"/>
              </w:rPr>
              <w:t>1 812 436 EUR/rok</w:t>
            </w:r>
          </w:p>
        </w:tc>
      </w:tr>
      <w:tr w:rsidR="00651404" w:rsidRPr="00C5749B" w14:paraId="55164C76" w14:textId="77777777" w:rsidTr="009E5918">
        <w:trPr>
          <w:trHeight w:val="340"/>
          <w:jc w:val="center"/>
        </w:trPr>
        <w:tc>
          <w:tcPr>
            <w:tcW w:w="1413" w:type="dxa"/>
            <w:vAlign w:val="center"/>
          </w:tcPr>
          <w:p w14:paraId="759DA9D4" w14:textId="77777777" w:rsidR="00651404" w:rsidRPr="00C5749B" w:rsidRDefault="00651404" w:rsidP="009E5918">
            <w:pPr>
              <w:jc w:val="center"/>
              <w:rPr>
                <w:rFonts w:ascii="Arial" w:hAnsi="Arial" w:cs="Arial"/>
                <w:b/>
              </w:rPr>
            </w:pPr>
            <w:r w:rsidRPr="00C5749B">
              <w:rPr>
                <w:rFonts w:ascii="Arial" w:hAnsi="Arial" w:cs="Arial"/>
                <w:b/>
              </w:rPr>
              <w:t>Etapa B</w:t>
            </w:r>
          </w:p>
        </w:tc>
        <w:tc>
          <w:tcPr>
            <w:tcW w:w="3824" w:type="dxa"/>
            <w:vAlign w:val="center"/>
          </w:tcPr>
          <w:p w14:paraId="3C892905" w14:textId="77777777" w:rsidR="00651404" w:rsidRPr="00C5749B" w:rsidRDefault="00651404" w:rsidP="009E5918">
            <w:pPr>
              <w:jc w:val="center"/>
              <w:rPr>
                <w:rFonts w:ascii="Arial" w:hAnsi="Arial" w:cs="Arial"/>
              </w:rPr>
            </w:pPr>
            <w:r w:rsidRPr="00C5749B">
              <w:rPr>
                <w:rFonts w:ascii="Arial" w:hAnsi="Arial" w:cs="Arial"/>
              </w:rPr>
              <w:t>5 412 364</w:t>
            </w:r>
          </w:p>
        </w:tc>
        <w:tc>
          <w:tcPr>
            <w:tcW w:w="3825" w:type="dxa"/>
            <w:vAlign w:val="center"/>
          </w:tcPr>
          <w:p w14:paraId="74F77A28" w14:textId="77777777" w:rsidR="00651404" w:rsidRPr="00C5749B" w:rsidRDefault="00651404" w:rsidP="009E5918">
            <w:pPr>
              <w:jc w:val="center"/>
              <w:rPr>
                <w:rFonts w:ascii="Arial" w:hAnsi="Arial" w:cs="Arial"/>
              </w:rPr>
            </w:pPr>
            <w:r w:rsidRPr="00C5749B">
              <w:rPr>
                <w:rFonts w:ascii="Arial" w:hAnsi="Arial" w:cs="Arial"/>
              </w:rPr>
              <w:t>3 788 655 EUR/rok</w:t>
            </w:r>
          </w:p>
        </w:tc>
      </w:tr>
      <w:tr w:rsidR="00651404" w:rsidRPr="00C5749B" w14:paraId="345088A2" w14:textId="77777777" w:rsidTr="009E5918">
        <w:trPr>
          <w:trHeight w:val="340"/>
          <w:jc w:val="center"/>
        </w:trPr>
        <w:tc>
          <w:tcPr>
            <w:tcW w:w="1413" w:type="dxa"/>
            <w:vAlign w:val="center"/>
          </w:tcPr>
          <w:p w14:paraId="5380357D" w14:textId="77777777" w:rsidR="00651404" w:rsidRPr="00C5749B" w:rsidRDefault="00651404" w:rsidP="009E5918">
            <w:pPr>
              <w:jc w:val="center"/>
              <w:rPr>
                <w:rFonts w:ascii="Arial" w:hAnsi="Arial" w:cs="Arial"/>
                <w:b/>
              </w:rPr>
            </w:pPr>
            <w:r w:rsidRPr="00C5749B">
              <w:rPr>
                <w:rFonts w:ascii="Arial" w:hAnsi="Arial" w:cs="Arial"/>
                <w:b/>
              </w:rPr>
              <w:t>Etapa C</w:t>
            </w:r>
          </w:p>
        </w:tc>
        <w:tc>
          <w:tcPr>
            <w:tcW w:w="3824" w:type="dxa"/>
            <w:vAlign w:val="center"/>
          </w:tcPr>
          <w:p w14:paraId="7890E874" w14:textId="77777777" w:rsidR="00651404" w:rsidRPr="00C5749B" w:rsidRDefault="00651404" w:rsidP="009E5918">
            <w:pPr>
              <w:jc w:val="center"/>
              <w:rPr>
                <w:rFonts w:ascii="Arial" w:hAnsi="Arial" w:cs="Arial"/>
              </w:rPr>
            </w:pPr>
            <w:r w:rsidRPr="00C5749B">
              <w:rPr>
                <w:rFonts w:ascii="Arial" w:hAnsi="Arial" w:cs="Arial"/>
              </w:rPr>
              <w:t>6 143 325</w:t>
            </w:r>
          </w:p>
        </w:tc>
        <w:tc>
          <w:tcPr>
            <w:tcW w:w="3825" w:type="dxa"/>
            <w:vAlign w:val="center"/>
          </w:tcPr>
          <w:p w14:paraId="6A32A77E" w14:textId="77777777" w:rsidR="00651404" w:rsidRPr="00C5749B" w:rsidRDefault="00651404" w:rsidP="009E5918">
            <w:pPr>
              <w:jc w:val="center"/>
              <w:rPr>
                <w:rFonts w:ascii="Arial" w:hAnsi="Arial" w:cs="Arial"/>
              </w:rPr>
            </w:pPr>
            <w:r w:rsidRPr="00C5749B">
              <w:rPr>
                <w:rFonts w:ascii="Arial" w:hAnsi="Arial" w:cs="Arial"/>
              </w:rPr>
              <w:t>4 300 328 EUR/rok</w:t>
            </w:r>
          </w:p>
        </w:tc>
      </w:tr>
    </w:tbl>
    <w:p w14:paraId="10966BFF" w14:textId="77777777" w:rsidR="00651404" w:rsidRPr="00C5749B" w:rsidRDefault="00651404" w:rsidP="00651404">
      <w:pPr>
        <w:spacing w:after="120"/>
        <w:jc w:val="both"/>
        <w:rPr>
          <w:rFonts w:ascii="Arial" w:hAnsi="Arial" w:cs="Arial"/>
        </w:rPr>
      </w:pPr>
    </w:p>
    <w:p w14:paraId="75B9D180" w14:textId="6D0AAD7B" w:rsidR="00651404" w:rsidRDefault="00651404" w:rsidP="00651404">
      <w:pPr>
        <w:spacing w:after="120"/>
        <w:jc w:val="both"/>
        <w:rPr>
          <w:rFonts w:ascii="Arial" w:hAnsi="Arial" w:cs="Arial"/>
        </w:rPr>
      </w:pPr>
      <w:r w:rsidRPr="00C5749B">
        <w:rPr>
          <w:rFonts w:ascii="Arial" w:hAnsi="Arial" w:cs="Arial"/>
        </w:rPr>
        <w:t xml:space="preserve">Dokument bol priebežne prerokovávaný na spoločných stretnutiach, na ktorých sa zúčastňovali zástupcovia objednávateľa dokumentu a riešiteľský tím. Zároveň sa uskutočnili stretnutia so zástupcami objednávateľov dopravných výkonov, dopravcov a s členmi dopravnej komisie BSK, ktoré sa konali dňa 05.12.2016 </w:t>
      </w:r>
      <w:r>
        <w:rPr>
          <w:rFonts w:ascii="Arial" w:hAnsi="Arial" w:cs="Arial"/>
        </w:rPr>
        <w:t xml:space="preserve">(prerokovanie 1. a 2. etapy), </w:t>
      </w:r>
      <w:r w:rsidRPr="00C5749B">
        <w:rPr>
          <w:rFonts w:ascii="Arial" w:hAnsi="Arial" w:cs="Arial"/>
        </w:rPr>
        <w:t>20.02.2017 (prerokovanie 3., 4. a 5. etapy)</w:t>
      </w:r>
      <w:r>
        <w:rPr>
          <w:rFonts w:ascii="Arial" w:hAnsi="Arial" w:cs="Arial"/>
        </w:rPr>
        <w:t xml:space="preserve"> a 19.04.2017 (prerokovanie celého dokumentu) aj za účasti členov Finančnej komisie a </w:t>
      </w:r>
      <w:r w:rsidRPr="00D21CED">
        <w:rPr>
          <w:rFonts w:ascii="Arial" w:hAnsi="Arial" w:cs="Arial"/>
        </w:rPr>
        <w:t>Komisie regionálneho rozvoja, územného plánovania a životného prostredia</w:t>
      </w:r>
      <w:r>
        <w:rPr>
          <w:rFonts w:ascii="Arial" w:hAnsi="Arial" w:cs="Arial"/>
        </w:rPr>
        <w:t>.</w:t>
      </w:r>
      <w:r w:rsidR="00ED787A" w:rsidRPr="00ED787A">
        <w:rPr>
          <w:rFonts w:ascii="Arial" w:hAnsi="Arial" w:cs="Arial"/>
          <w:color w:val="000000"/>
          <w:shd w:val="clear" w:color="auto" w:fill="FFFFFF"/>
        </w:rPr>
        <w:t xml:space="preserve"> </w:t>
      </w:r>
      <w:r w:rsidR="00ED787A">
        <w:rPr>
          <w:rFonts w:ascii="Arial" w:hAnsi="Arial" w:cs="Arial"/>
          <w:color w:val="000000"/>
          <w:shd w:val="clear" w:color="auto" w:fill="FFFFFF"/>
        </w:rPr>
        <w:t>Dňa 03.05.2017 sa uskutoční stretnutie so zástupcami Dopravnej komisie Magistrátu hl. mesta SR Bratislavy.</w:t>
      </w:r>
    </w:p>
    <w:p w14:paraId="24643755" w14:textId="0069E00A" w:rsidR="00B70D2A" w:rsidRDefault="00651404" w:rsidP="00651404">
      <w:pPr>
        <w:spacing w:after="120"/>
        <w:jc w:val="both"/>
        <w:rPr>
          <w:rFonts w:ascii="Arial" w:hAnsi="Arial" w:cs="Arial"/>
          <w:color w:val="000000"/>
          <w:shd w:val="clear" w:color="auto" w:fill="FFFFFF"/>
        </w:rPr>
      </w:pPr>
      <w:r w:rsidRPr="008061E8">
        <w:rPr>
          <w:rFonts w:ascii="Arial" w:hAnsi="Arial" w:cs="Arial"/>
          <w:color w:val="000000"/>
          <w:shd w:val="clear" w:color="auto" w:fill="FFFFFF"/>
        </w:rPr>
        <w:t>Vypracovaný Plán dopravnej obslužnosti B</w:t>
      </w:r>
      <w:r>
        <w:rPr>
          <w:rFonts w:ascii="Arial" w:hAnsi="Arial" w:cs="Arial"/>
          <w:color w:val="000000"/>
          <w:shd w:val="clear" w:color="auto" w:fill="FFFFFF"/>
        </w:rPr>
        <w:t>ratislavského kraja bol dňa 12.04.</w:t>
      </w:r>
      <w:r w:rsidRPr="008061E8">
        <w:rPr>
          <w:rFonts w:ascii="Arial" w:hAnsi="Arial" w:cs="Arial"/>
          <w:color w:val="000000"/>
          <w:shd w:val="clear" w:color="auto" w:fill="FFFFFF"/>
        </w:rPr>
        <w:t>2017 zaslaný na pripomienkovanie Ministerstvu dopravy a výstavby SR, Úradu Bratislavského samosprávneho kraja a Mag</w:t>
      </w:r>
      <w:r>
        <w:rPr>
          <w:rFonts w:ascii="Arial" w:hAnsi="Arial" w:cs="Arial"/>
          <w:color w:val="000000"/>
          <w:shd w:val="clear" w:color="auto" w:fill="FFFFFF"/>
        </w:rPr>
        <w:t>istrátu hl. mesta SR Bratislavy.</w:t>
      </w:r>
    </w:p>
    <w:p w14:paraId="78C49F3E" w14:textId="459B4D84" w:rsidR="00ED787A" w:rsidRPr="00ED787A" w:rsidRDefault="00ED787A" w:rsidP="00651404">
      <w:pPr>
        <w:spacing w:after="120"/>
        <w:jc w:val="both"/>
        <w:rPr>
          <w:rFonts w:ascii="Arial" w:hAnsi="Arial" w:cs="Arial"/>
        </w:rPr>
      </w:pPr>
      <w:r w:rsidRPr="00C5749B">
        <w:rPr>
          <w:rFonts w:ascii="Arial" w:hAnsi="Arial" w:cs="Arial"/>
        </w:rPr>
        <w:t>V predkladanej verzii dokumentu</w:t>
      </w:r>
      <w:r>
        <w:rPr>
          <w:rFonts w:ascii="Arial" w:hAnsi="Arial" w:cs="Arial"/>
        </w:rPr>
        <w:t xml:space="preserve"> </w:t>
      </w:r>
      <w:r w:rsidRPr="00C5749B">
        <w:rPr>
          <w:rFonts w:ascii="Arial" w:hAnsi="Arial" w:cs="Arial"/>
        </w:rPr>
        <w:t>ešte nie sú zapracované záverečné pripomienky objednávateľa dokumentu k piatej</w:t>
      </w:r>
      <w:r>
        <w:rPr>
          <w:rFonts w:ascii="Arial" w:hAnsi="Arial" w:cs="Arial"/>
        </w:rPr>
        <w:t xml:space="preserve"> a šiestej etape. Tieto pripomienky budú spolu s pripomienkami objednávateľov dopravných výkonov a účastníkov stretnutia zo dňa 19.04.2017 zapracované do finálnej verzie dokumentu predkladanej na Zastupiteľstvo BSK dňa 12.05.2017.</w:t>
      </w:r>
    </w:p>
    <w:p w14:paraId="70653613" w14:textId="77777777" w:rsidR="00ED787A" w:rsidRPr="00651404" w:rsidRDefault="00ED787A">
      <w:pPr>
        <w:spacing w:after="120"/>
        <w:jc w:val="both"/>
        <w:rPr>
          <w:rFonts w:ascii="Arial" w:hAnsi="Arial" w:cs="Arial"/>
          <w:color w:val="000000"/>
          <w:shd w:val="clear" w:color="auto" w:fill="FFFFFF"/>
        </w:rPr>
      </w:pPr>
    </w:p>
    <w:sectPr w:rsidR="00ED787A" w:rsidRPr="00651404" w:rsidSect="008034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F86F1" w14:textId="77777777" w:rsidR="00586CCC" w:rsidRDefault="00586CCC" w:rsidP="0064020F">
      <w:r>
        <w:separator/>
      </w:r>
    </w:p>
  </w:endnote>
  <w:endnote w:type="continuationSeparator" w:id="0">
    <w:p w14:paraId="6766966C" w14:textId="77777777" w:rsidR="00586CCC" w:rsidRDefault="00586CCC" w:rsidP="00640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20B0503030403020204"/>
    <w:charset w:val="00"/>
    <w:family w:val="swiss"/>
    <w:notTrueType/>
    <w:pitch w:val="variable"/>
    <w:sig w:usb0="A00002AF" w:usb1="5000204B" w:usb2="00000000" w:usb3="00000000" w:csb0="0000019F" w:csb1="00000000"/>
  </w:font>
  <w:font w:name="Myriad Pro Cond">
    <w:panose1 w:val="020B0506030403020204"/>
    <w:charset w:val="00"/>
    <w:family w:val="swiss"/>
    <w:notTrueType/>
    <w:pitch w:val="variable"/>
    <w:sig w:usb0="A00002AF" w:usb1="5000204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2B382" w14:textId="77777777" w:rsidR="00586CCC" w:rsidRDefault="00586CCC" w:rsidP="0064020F">
      <w:r>
        <w:separator/>
      </w:r>
    </w:p>
  </w:footnote>
  <w:footnote w:type="continuationSeparator" w:id="0">
    <w:p w14:paraId="3FD6F868" w14:textId="77777777" w:rsidR="00586CCC" w:rsidRDefault="00586CCC" w:rsidP="006402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92DEA"/>
    <w:multiLevelType w:val="hybridMultilevel"/>
    <w:tmpl w:val="9AF67E3E"/>
    <w:lvl w:ilvl="0" w:tplc="B4D8478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134E49B4"/>
    <w:multiLevelType w:val="hybridMultilevel"/>
    <w:tmpl w:val="CB96F2CA"/>
    <w:lvl w:ilvl="0" w:tplc="E858163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7432A1A"/>
    <w:multiLevelType w:val="hybridMultilevel"/>
    <w:tmpl w:val="C560939E"/>
    <w:lvl w:ilvl="0" w:tplc="041B0015">
      <w:start w:val="1"/>
      <w:numFmt w:val="upperLetter"/>
      <w:lvlText w:val="%1."/>
      <w:lvlJc w:val="left"/>
      <w:pPr>
        <w:ind w:left="4330" w:hanging="360"/>
      </w:pPr>
      <w:rPr>
        <w:rFonts w:hint="default"/>
      </w:rPr>
    </w:lvl>
    <w:lvl w:ilvl="1" w:tplc="041B0019" w:tentative="1">
      <w:start w:val="1"/>
      <w:numFmt w:val="lowerLetter"/>
      <w:lvlText w:val="%2."/>
      <w:lvlJc w:val="left"/>
      <w:pPr>
        <w:ind w:left="5050" w:hanging="360"/>
      </w:pPr>
    </w:lvl>
    <w:lvl w:ilvl="2" w:tplc="041B001B" w:tentative="1">
      <w:start w:val="1"/>
      <w:numFmt w:val="lowerRoman"/>
      <w:lvlText w:val="%3."/>
      <w:lvlJc w:val="right"/>
      <w:pPr>
        <w:ind w:left="5770" w:hanging="180"/>
      </w:pPr>
    </w:lvl>
    <w:lvl w:ilvl="3" w:tplc="041B000F" w:tentative="1">
      <w:start w:val="1"/>
      <w:numFmt w:val="decimal"/>
      <w:lvlText w:val="%4."/>
      <w:lvlJc w:val="left"/>
      <w:pPr>
        <w:ind w:left="6490" w:hanging="360"/>
      </w:pPr>
    </w:lvl>
    <w:lvl w:ilvl="4" w:tplc="041B0019" w:tentative="1">
      <w:start w:val="1"/>
      <w:numFmt w:val="lowerLetter"/>
      <w:lvlText w:val="%5."/>
      <w:lvlJc w:val="left"/>
      <w:pPr>
        <w:ind w:left="7210" w:hanging="360"/>
      </w:pPr>
    </w:lvl>
    <w:lvl w:ilvl="5" w:tplc="041B001B" w:tentative="1">
      <w:start w:val="1"/>
      <w:numFmt w:val="lowerRoman"/>
      <w:lvlText w:val="%6."/>
      <w:lvlJc w:val="right"/>
      <w:pPr>
        <w:ind w:left="7930" w:hanging="180"/>
      </w:pPr>
    </w:lvl>
    <w:lvl w:ilvl="6" w:tplc="041B000F" w:tentative="1">
      <w:start w:val="1"/>
      <w:numFmt w:val="decimal"/>
      <w:lvlText w:val="%7."/>
      <w:lvlJc w:val="left"/>
      <w:pPr>
        <w:ind w:left="8650" w:hanging="360"/>
      </w:pPr>
    </w:lvl>
    <w:lvl w:ilvl="7" w:tplc="041B0019" w:tentative="1">
      <w:start w:val="1"/>
      <w:numFmt w:val="lowerLetter"/>
      <w:lvlText w:val="%8."/>
      <w:lvlJc w:val="left"/>
      <w:pPr>
        <w:ind w:left="9370" w:hanging="360"/>
      </w:pPr>
    </w:lvl>
    <w:lvl w:ilvl="8" w:tplc="041B001B" w:tentative="1">
      <w:start w:val="1"/>
      <w:numFmt w:val="lowerRoman"/>
      <w:lvlText w:val="%9."/>
      <w:lvlJc w:val="right"/>
      <w:pPr>
        <w:ind w:left="10090" w:hanging="180"/>
      </w:pPr>
    </w:lvl>
  </w:abstractNum>
  <w:abstractNum w:abstractNumId="3" w15:restartNumberingAfterBreak="0">
    <w:nsid w:val="18BF7C48"/>
    <w:multiLevelType w:val="hybridMultilevel"/>
    <w:tmpl w:val="D0606DFC"/>
    <w:lvl w:ilvl="0" w:tplc="41D4BE1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627D1457"/>
    <w:multiLevelType w:val="hybridMultilevel"/>
    <w:tmpl w:val="FE40702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630D33DE"/>
    <w:multiLevelType w:val="hybridMultilevel"/>
    <w:tmpl w:val="176E4E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AA03788"/>
    <w:multiLevelType w:val="hybridMultilevel"/>
    <w:tmpl w:val="C4A69F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D4A7BF0"/>
    <w:multiLevelType w:val="hybridMultilevel"/>
    <w:tmpl w:val="1DAA4E4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DEC4ED3"/>
    <w:multiLevelType w:val="hybridMultilevel"/>
    <w:tmpl w:val="761EF3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0720BB6"/>
    <w:multiLevelType w:val="hybridMultilevel"/>
    <w:tmpl w:val="1DAA4E4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E6237B6"/>
    <w:multiLevelType w:val="multilevel"/>
    <w:tmpl w:val="2070DEF0"/>
    <w:lvl w:ilvl="0">
      <w:start w:val="1"/>
      <w:numFmt w:val="bullet"/>
      <w:pStyle w:val="Sodrkami"/>
      <w:lvlText w:val=""/>
      <w:lvlJc w:val="left"/>
      <w:pPr>
        <w:tabs>
          <w:tab w:val="num" w:pos="1418"/>
        </w:tabs>
        <w:ind w:left="1418" w:hanging="425"/>
      </w:pPr>
      <w:rPr>
        <w:rFonts w:ascii="Symbol" w:hAnsi="Symbol" w:hint="default"/>
      </w:rPr>
    </w:lvl>
    <w:lvl w:ilvl="1">
      <w:start w:val="1"/>
      <w:numFmt w:val="bullet"/>
      <w:lvlText w:val="o"/>
      <w:lvlJc w:val="left"/>
      <w:pPr>
        <w:tabs>
          <w:tab w:val="num" w:pos="1843"/>
        </w:tabs>
        <w:ind w:left="1843" w:hanging="425"/>
      </w:pPr>
      <w:rPr>
        <w:rFonts w:ascii="Courier New" w:hAnsi="Courier New" w:hint="default"/>
      </w:rPr>
    </w:lvl>
    <w:lvl w:ilvl="2">
      <w:start w:val="1"/>
      <w:numFmt w:val="bullet"/>
      <w:lvlText w:val=""/>
      <w:lvlJc w:val="left"/>
      <w:pPr>
        <w:tabs>
          <w:tab w:val="num" w:pos="2268"/>
        </w:tabs>
        <w:ind w:left="2268" w:hanging="425"/>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abstractNum w:abstractNumId="11" w15:restartNumberingAfterBreak="0">
    <w:nsid w:val="7F217431"/>
    <w:multiLevelType w:val="hybridMultilevel"/>
    <w:tmpl w:val="AEB27A4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0"/>
  </w:num>
  <w:num w:numId="2">
    <w:abstractNumId w:val="1"/>
  </w:num>
  <w:num w:numId="3">
    <w:abstractNumId w:val="2"/>
  </w:num>
  <w:num w:numId="4">
    <w:abstractNumId w:val="8"/>
  </w:num>
  <w:num w:numId="5">
    <w:abstractNumId w:val="9"/>
  </w:num>
  <w:num w:numId="6">
    <w:abstractNumId w:val="7"/>
  </w:num>
  <w:num w:numId="7">
    <w:abstractNumId w:val="5"/>
  </w:num>
  <w:num w:numId="8">
    <w:abstractNumId w:val="11"/>
  </w:num>
  <w:num w:numId="9">
    <w:abstractNumId w:val="0"/>
  </w:num>
  <w:num w:numId="10">
    <w:abstractNumId w:val="3"/>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78A"/>
    <w:rsid w:val="00035162"/>
    <w:rsid w:val="00036BF8"/>
    <w:rsid w:val="000416CB"/>
    <w:rsid w:val="0004604A"/>
    <w:rsid w:val="0006051A"/>
    <w:rsid w:val="000B2C69"/>
    <w:rsid w:val="000C3516"/>
    <w:rsid w:val="000E201B"/>
    <w:rsid w:val="001268B2"/>
    <w:rsid w:val="001638FD"/>
    <w:rsid w:val="00163DF3"/>
    <w:rsid w:val="00165D42"/>
    <w:rsid w:val="001661EC"/>
    <w:rsid w:val="001A5DC3"/>
    <w:rsid w:val="001B56C6"/>
    <w:rsid w:val="001B7CA6"/>
    <w:rsid w:val="001E5CC8"/>
    <w:rsid w:val="001E7655"/>
    <w:rsid w:val="001F0979"/>
    <w:rsid w:val="00232519"/>
    <w:rsid w:val="00247B3D"/>
    <w:rsid w:val="00251C29"/>
    <w:rsid w:val="00266A16"/>
    <w:rsid w:val="00286311"/>
    <w:rsid w:val="00294CDC"/>
    <w:rsid w:val="002D7DC8"/>
    <w:rsid w:val="002E607C"/>
    <w:rsid w:val="002E75AA"/>
    <w:rsid w:val="003238FA"/>
    <w:rsid w:val="00360E63"/>
    <w:rsid w:val="00363479"/>
    <w:rsid w:val="00363DFD"/>
    <w:rsid w:val="00373B90"/>
    <w:rsid w:val="00396B4A"/>
    <w:rsid w:val="003C2E43"/>
    <w:rsid w:val="003C478A"/>
    <w:rsid w:val="003D5C86"/>
    <w:rsid w:val="003F2D65"/>
    <w:rsid w:val="003F4A9C"/>
    <w:rsid w:val="00413C8F"/>
    <w:rsid w:val="004170A6"/>
    <w:rsid w:val="00462210"/>
    <w:rsid w:val="00475315"/>
    <w:rsid w:val="00485FA1"/>
    <w:rsid w:val="0050702B"/>
    <w:rsid w:val="00537753"/>
    <w:rsid w:val="00546FF8"/>
    <w:rsid w:val="00586CCC"/>
    <w:rsid w:val="00594867"/>
    <w:rsid w:val="005D5EDE"/>
    <w:rsid w:val="00606F66"/>
    <w:rsid w:val="006128BF"/>
    <w:rsid w:val="006130EE"/>
    <w:rsid w:val="0061529D"/>
    <w:rsid w:val="0064020F"/>
    <w:rsid w:val="006405FE"/>
    <w:rsid w:val="00646885"/>
    <w:rsid w:val="00647CF9"/>
    <w:rsid w:val="00651404"/>
    <w:rsid w:val="00667DA5"/>
    <w:rsid w:val="00672A1D"/>
    <w:rsid w:val="0067770E"/>
    <w:rsid w:val="006959F1"/>
    <w:rsid w:val="006A19AA"/>
    <w:rsid w:val="006B6D2A"/>
    <w:rsid w:val="006C7899"/>
    <w:rsid w:val="006F6BD0"/>
    <w:rsid w:val="006F704C"/>
    <w:rsid w:val="006F763E"/>
    <w:rsid w:val="00703343"/>
    <w:rsid w:val="0072581A"/>
    <w:rsid w:val="007573AC"/>
    <w:rsid w:val="00763E25"/>
    <w:rsid w:val="0076763A"/>
    <w:rsid w:val="00770F6D"/>
    <w:rsid w:val="00773802"/>
    <w:rsid w:val="00773A73"/>
    <w:rsid w:val="00783ADB"/>
    <w:rsid w:val="00792960"/>
    <w:rsid w:val="00796B55"/>
    <w:rsid w:val="007B090D"/>
    <w:rsid w:val="007F5AD1"/>
    <w:rsid w:val="008034BF"/>
    <w:rsid w:val="00804A74"/>
    <w:rsid w:val="00826D24"/>
    <w:rsid w:val="00843EB0"/>
    <w:rsid w:val="008A29E2"/>
    <w:rsid w:val="008B5EF9"/>
    <w:rsid w:val="0090475A"/>
    <w:rsid w:val="00905420"/>
    <w:rsid w:val="00946CE3"/>
    <w:rsid w:val="009912A2"/>
    <w:rsid w:val="009E28BF"/>
    <w:rsid w:val="009E462D"/>
    <w:rsid w:val="009F7A0D"/>
    <w:rsid w:val="00A10581"/>
    <w:rsid w:val="00A13572"/>
    <w:rsid w:val="00A208AC"/>
    <w:rsid w:val="00A339EB"/>
    <w:rsid w:val="00A94F7E"/>
    <w:rsid w:val="00B05754"/>
    <w:rsid w:val="00B16CF5"/>
    <w:rsid w:val="00B54313"/>
    <w:rsid w:val="00B64417"/>
    <w:rsid w:val="00B70D2A"/>
    <w:rsid w:val="00B73D21"/>
    <w:rsid w:val="00B76543"/>
    <w:rsid w:val="00B80732"/>
    <w:rsid w:val="00B97216"/>
    <w:rsid w:val="00BF0C6D"/>
    <w:rsid w:val="00BF24BE"/>
    <w:rsid w:val="00C013C0"/>
    <w:rsid w:val="00C0368B"/>
    <w:rsid w:val="00C10C1E"/>
    <w:rsid w:val="00C25928"/>
    <w:rsid w:val="00C565D7"/>
    <w:rsid w:val="00C74D9E"/>
    <w:rsid w:val="00C9494C"/>
    <w:rsid w:val="00CA7CA9"/>
    <w:rsid w:val="00CB721E"/>
    <w:rsid w:val="00CC1FED"/>
    <w:rsid w:val="00CC5947"/>
    <w:rsid w:val="00CD4A54"/>
    <w:rsid w:val="00CE580A"/>
    <w:rsid w:val="00D04AAB"/>
    <w:rsid w:val="00D33A56"/>
    <w:rsid w:val="00D33BB2"/>
    <w:rsid w:val="00D35680"/>
    <w:rsid w:val="00D617F3"/>
    <w:rsid w:val="00D823C6"/>
    <w:rsid w:val="00D93B89"/>
    <w:rsid w:val="00DA3D21"/>
    <w:rsid w:val="00DB02A6"/>
    <w:rsid w:val="00DB3730"/>
    <w:rsid w:val="00DD2B78"/>
    <w:rsid w:val="00DF33FF"/>
    <w:rsid w:val="00DF7A61"/>
    <w:rsid w:val="00E0124C"/>
    <w:rsid w:val="00E05BF4"/>
    <w:rsid w:val="00E47E4F"/>
    <w:rsid w:val="00EA57F0"/>
    <w:rsid w:val="00EA78B0"/>
    <w:rsid w:val="00EB2A96"/>
    <w:rsid w:val="00ED029D"/>
    <w:rsid w:val="00ED787A"/>
    <w:rsid w:val="00EF0AEF"/>
    <w:rsid w:val="00F0405E"/>
    <w:rsid w:val="00F34A11"/>
    <w:rsid w:val="00F368EE"/>
    <w:rsid w:val="00F56751"/>
    <w:rsid w:val="00F709E9"/>
    <w:rsid w:val="00FB151B"/>
    <w:rsid w:val="00FB16E5"/>
    <w:rsid w:val="00FB4D93"/>
    <w:rsid w:val="00FD0143"/>
    <w:rsid w:val="00FE1179"/>
    <w:rsid w:val="00FE33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EE9EB"/>
  <w15:docId w15:val="{F5FBFE7B-FA32-453A-9EF6-50F9B8C25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customStyle="1" w:styleId="Sodrkami">
    <w:name w:val="S odrážkami"/>
    <w:basedOn w:val="Normlny"/>
    <w:rsid w:val="000C3516"/>
    <w:pPr>
      <w:numPr>
        <w:numId w:val="1"/>
      </w:numPr>
      <w:spacing w:after="200" w:line="276" w:lineRule="auto"/>
      <w:contextualSpacing/>
      <w:jc w:val="both"/>
    </w:pPr>
    <w:rPr>
      <w:rFonts w:ascii="Myriad Pro" w:eastAsia="Calibri" w:hAnsi="Myriad Pro"/>
      <w:szCs w:val="22"/>
      <w:lang w:eastAsia="en-US"/>
    </w:rPr>
  </w:style>
  <w:style w:type="paragraph" w:styleId="Odsekzoznamu">
    <w:name w:val="List Paragraph"/>
    <w:basedOn w:val="Normlny"/>
    <w:uiPriority w:val="34"/>
    <w:qFormat/>
    <w:rsid w:val="000C3516"/>
    <w:pPr>
      <w:spacing w:after="200" w:line="276" w:lineRule="auto"/>
      <w:ind w:left="720"/>
      <w:contextualSpacing/>
      <w:jc w:val="both"/>
    </w:pPr>
    <w:rPr>
      <w:rFonts w:ascii="Myriad Pro" w:eastAsia="Calibri" w:hAnsi="Myriad Pro" w:cs="Arial"/>
      <w:szCs w:val="22"/>
      <w:lang w:eastAsia="en-US"/>
    </w:rPr>
  </w:style>
  <w:style w:type="paragraph" w:customStyle="1" w:styleId="Default">
    <w:name w:val="Default"/>
    <w:rsid w:val="00373B90"/>
    <w:pPr>
      <w:autoSpaceDE w:val="0"/>
      <w:autoSpaceDN w:val="0"/>
      <w:adjustRightInd w:val="0"/>
      <w:spacing w:after="0" w:line="240" w:lineRule="auto"/>
    </w:pPr>
    <w:rPr>
      <w:rFonts w:ascii="Myriad Pro" w:eastAsia="Times New Roman" w:hAnsi="Myriad Pro" w:cs="Myriad Pro"/>
      <w:color w:val="000000"/>
      <w:sz w:val="24"/>
      <w:szCs w:val="24"/>
      <w:lang w:eastAsia="sk-SK"/>
    </w:rPr>
  </w:style>
  <w:style w:type="table" w:styleId="Mriekatabuky">
    <w:name w:val="Table Grid"/>
    <w:basedOn w:val="Normlnatabuka"/>
    <w:uiPriority w:val="59"/>
    <w:rsid w:val="003D5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ZkladnText">
    <w:name w:val="F2-ZákladnýText"/>
    <w:basedOn w:val="Normlny"/>
    <w:link w:val="F2-ZkladnTextChar"/>
    <w:uiPriority w:val="99"/>
    <w:rsid w:val="00286311"/>
    <w:pPr>
      <w:jc w:val="both"/>
    </w:pPr>
    <w:rPr>
      <w:szCs w:val="20"/>
    </w:rPr>
  </w:style>
  <w:style w:type="character" w:customStyle="1" w:styleId="F2-ZkladnTextChar">
    <w:name w:val="F2-ZákladnýText Char"/>
    <w:basedOn w:val="Predvolenpsmoodseku"/>
    <w:link w:val="F2-ZkladnText"/>
    <w:uiPriority w:val="99"/>
    <w:locked/>
    <w:rsid w:val="00286311"/>
    <w:rPr>
      <w:rFonts w:ascii="Times New Roman" w:eastAsia="Times New Roman" w:hAnsi="Times New Roman" w:cs="Times New Roman"/>
      <w:sz w:val="24"/>
      <w:szCs w:val="20"/>
      <w:lang w:eastAsia="sk-SK"/>
    </w:rPr>
  </w:style>
  <w:style w:type="character" w:styleId="Odkaznakomentr">
    <w:name w:val="annotation reference"/>
    <w:basedOn w:val="Predvolenpsmoodseku"/>
    <w:uiPriority w:val="99"/>
    <w:semiHidden/>
    <w:unhideWhenUsed/>
    <w:rsid w:val="009912A2"/>
    <w:rPr>
      <w:sz w:val="16"/>
      <w:szCs w:val="16"/>
    </w:rPr>
  </w:style>
  <w:style w:type="paragraph" w:styleId="Textkomentra">
    <w:name w:val="annotation text"/>
    <w:basedOn w:val="Normlny"/>
    <w:link w:val="TextkomentraChar"/>
    <w:uiPriority w:val="99"/>
    <w:semiHidden/>
    <w:unhideWhenUsed/>
    <w:rsid w:val="009912A2"/>
    <w:rPr>
      <w:sz w:val="20"/>
      <w:szCs w:val="20"/>
    </w:rPr>
  </w:style>
  <w:style w:type="character" w:customStyle="1" w:styleId="TextkomentraChar">
    <w:name w:val="Text komentára Char"/>
    <w:basedOn w:val="Predvolenpsmoodseku"/>
    <w:link w:val="Textkomentra"/>
    <w:uiPriority w:val="99"/>
    <w:semiHidden/>
    <w:rsid w:val="009912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912A2"/>
    <w:rPr>
      <w:b/>
      <w:bCs/>
    </w:rPr>
  </w:style>
  <w:style w:type="character" w:customStyle="1" w:styleId="PredmetkomentraChar">
    <w:name w:val="Predmet komentára Char"/>
    <w:basedOn w:val="TextkomentraChar"/>
    <w:link w:val="Predmetkomentra"/>
    <w:uiPriority w:val="99"/>
    <w:semiHidden/>
    <w:rsid w:val="009912A2"/>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unhideWhenUsed/>
    <w:rsid w:val="0064020F"/>
    <w:pPr>
      <w:jc w:val="both"/>
    </w:pPr>
    <w:rPr>
      <w:rFonts w:ascii="Myriad Pro" w:eastAsia="Calibri" w:hAnsi="Myriad Pro" w:cs="Arial"/>
      <w:sz w:val="20"/>
      <w:szCs w:val="20"/>
      <w:lang w:eastAsia="en-US"/>
    </w:rPr>
  </w:style>
  <w:style w:type="character" w:customStyle="1" w:styleId="TextpoznmkypodiarouChar">
    <w:name w:val="Text poznámky pod čiarou Char"/>
    <w:basedOn w:val="Predvolenpsmoodseku"/>
    <w:link w:val="Textpoznmkypodiarou"/>
    <w:uiPriority w:val="99"/>
    <w:rsid w:val="0064020F"/>
    <w:rPr>
      <w:rFonts w:ascii="Myriad Pro" w:eastAsia="Calibri" w:hAnsi="Myriad Pro" w:cs="Arial"/>
      <w:sz w:val="20"/>
      <w:szCs w:val="20"/>
    </w:rPr>
  </w:style>
  <w:style w:type="character" w:styleId="Odkaznapoznmkupodiarou">
    <w:name w:val="footnote reference"/>
    <w:basedOn w:val="Predvolenpsmoodseku"/>
    <w:uiPriority w:val="99"/>
    <w:semiHidden/>
    <w:unhideWhenUsed/>
    <w:rsid w:val="0064020F"/>
    <w:rPr>
      <w:vertAlign w:val="superscript"/>
    </w:rPr>
  </w:style>
  <w:style w:type="paragraph" w:customStyle="1" w:styleId="Tabuka-hlavika">
    <w:name w:val="Tabuľka - hlavička"/>
    <w:basedOn w:val="Normlny"/>
    <w:qFormat/>
    <w:rsid w:val="0064020F"/>
    <w:pPr>
      <w:widowControl w:val="0"/>
      <w:suppressLineNumbers/>
      <w:suppressAutoHyphens/>
      <w:jc w:val="center"/>
    </w:pPr>
    <w:rPr>
      <w:rFonts w:ascii="Myriad Pro Cond" w:eastAsia="Calibri" w:hAnsi="Myriad Pro Cond"/>
      <w:b/>
      <w:kern w:val="1"/>
    </w:rPr>
  </w:style>
  <w:style w:type="paragraph" w:customStyle="1" w:styleId="Tabuka-hodnotyL">
    <w:name w:val="Tabuľka - hodnoty L"/>
    <w:basedOn w:val="Normlny"/>
    <w:qFormat/>
    <w:rsid w:val="0064020F"/>
    <w:pPr>
      <w:widowControl w:val="0"/>
      <w:suppressLineNumbers/>
      <w:suppressAutoHyphens/>
    </w:pPr>
    <w:rPr>
      <w:rFonts w:ascii="Myriad Pro Cond" w:eastAsia="Calibri" w:hAnsi="Myriad Pro Cond"/>
      <w:kern w:val="1"/>
    </w:rPr>
  </w:style>
  <w:style w:type="paragraph" w:customStyle="1" w:styleId="Tabuka-hodnotyP">
    <w:name w:val="Tabuľka - hodnoty P"/>
    <w:basedOn w:val="Normlny"/>
    <w:qFormat/>
    <w:rsid w:val="0064020F"/>
    <w:pPr>
      <w:widowControl w:val="0"/>
      <w:suppressLineNumbers/>
      <w:suppressAutoHyphens/>
      <w:jc w:val="right"/>
    </w:pPr>
    <w:rPr>
      <w:rFonts w:ascii="Myriad Pro Cond" w:eastAsia="Calibri" w:hAnsi="Myriad Pro Cond"/>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58190">
      <w:bodyDiv w:val="1"/>
      <w:marLeft w:val="0"/>
      <w:marRight w:val="0"/>
      <w:marTop w:val="0"/>
      <w:marBottom w:val="0"/>
      <w:divBdr>
        <w:top w:val="none" w:sz="0" w:space="0" w:color="auto"/>
        <w:left w:val="none" w:sz="0" w:space="0" w:color="auto"/>
        <w:bottom w:val="none" w:sz="0" w:space="0" w:color="auto"/>
        <w:right w:val="none" w:sz="0" w:space="0" w:color="auto"/>
      </w:divBdr>
    </w:div>
    <w:div w:id="986469749">
      <w:bodyDiv w:val="1"/>
      <w:marLeft w:val="0"/>
      <w:marRight w:val="0"/>
      <w:marTop w:val="0"/>
      <w:marBottom w:val="0"/>
      <w:divBdr>
        <w:top w:val="none" w:sz="0" w:space="0" w:color="auto"/>
        <w:left w:val="none" w:sz="0" w:space="0" w:color="auto"/>
        <w:bottom w:val="none" w:sz="0" w:space="0" w:color="auto"/>
        <w:right w:val="none" w:sz="0" w:space="0" w:color="auto"/>
      </w:divBdr>
    </w:div>
    <w:div w:id="1014185051">
      <w:bodyDiv w:val="1"/>
      <w:marLeft w:val="0"/>
      <w:marRight w:val="0"/>
      <w:marTop w:val="0"/>
      <w:marBottom w:val="0"/>
      <w:divBdr>
        <w:top w:val="none" w:sz="0" w:space="0" w:color="auto"/>
        <w:left w:val="none" w:sz="0" w:space="0" w:color="auto"/>
        <w:bottom w:val="none" w:sz="0" w:space="0" w:color="auto"/>
        <w:right w:val="none" w:sz="0" w:space="0" w:color="auto"/>
      </w:divBdr>
    </w:div>
    <w:div w:id="1116414613">
      <w:bodyDiv w:val="1"/>
      <w:marLeft w:val="0"/>
      <w:marRight w:val="0"/>
      <w:marTop w:val="0"/>
      <w:marBottom w:val="0"/>
      <w:divBdr>
        <w:top w:val="none" w:sz="0" w:space="0" w:color="auto"/>
        <w:left w:val="none" w:sz="0" w:space="0" w:color="auto"/>
        <w:bottom w:val="none" w:sz="0" w:space="0" w:color="auto"/>
        <w:right w:val="none" w:sz="0" w:space="0" w:color="auto"/>
      </w:divBdr>
      <w:divsChild>
        <w:div w:id="1131485555">
          <w:marLeft w:val="0"/>
          <w:marRight w:val="0"/>
          <w:marTop w:val="0"/>
          <w:marBottom w:val="0"/>
          <w:divBdr>
            <w:top w:val="none" w:sz="0" w:space="0" w:color="auto"/>
            <w:left w:val="none" w:sz="0" w:space="0" w:color="auto"/>
            <w:bottom w:val="none" w:sz="0" w:space="0" w:color="auto"/>
            <w:right w:val="none" w:sz="0" w:space="0" w:color="auto"/>
          </w:divBdr>
        </w:div>
        <w:div w:id="1686636649">
          <w:marLeft w:val="0"/>
          <w:marRight w:val="0"/>
          <w:marTop w:val="0"/>
          <w:marBottom w:val="0"/>
          <w:divBdr>
            <w:top w:val="none" w:sz="0" w:space="0" w:color="auto"/>
            <w:left w:val="none" w:sz="0" w:space="0" w:color="auto"/>
            <w:bottom w:val="none" w:sz="0" w:space="0" w:color="auto"/>
            <w:right w:val="none" w:sz="0" w:space="0" w:color="auto"/>
          </w:divBdr>
        </w:div>
        <w:div w:id="982782219">
          <w:marLeft w:val="0"/>
          <w:marRight w:val="0"/>
          <w:marTop w:val="0"/>
          <w:marBottom w:val="0"/>
          <w:divBdr>
            <w:top w:val="none" w:sz="0" w:space="0" w:color="auto"/>
            <w:left w:val="none" w:sz="0" w:space="0" w:color="auto"/>
            <w:bottom w:val="none" w:sz="0" w:space="0" w:color="auto"/>
            <w:right w:val="none" w:sz="0" w:space="0" w:color="auto"/>
          </w:divBdr>
        </w:div>
        <w:div w:id="1636835931">
          <w:marLeft w:val="0"/>
          <w:marRight w:val="0"/>
          <w:marTop w:val="0"/>
          <w:marBottom w:val="0"/>
          <w:divBdr>
            <w:top w:val="none" w:sz="0" w:space="0" w:color="auto"/>
            <w:left w:val="none" w:sz="0" w:space="0" w:color="auto"/>
            <w:bottom w:val="none" w:sz="0" w:space="0" w:color="auto"/>
            <w:right w:val="none" w:sz="0" w:space="0" w:color="auto"/>
          </w:divBdr>
        </w:div>
        <w:div w:id="140468401">
          <w:marLeft w:val="0"/>
          <w:marRight w:val="0"/>
          <w:marTop w:val="0"/>
          <w:marBottom w:val="0"/>
          <w:divBdr>
            <w:top w:val="none" w:sz="0" w:space="0" w:color="auto"/>
            <w:left w:val="none" w:sz="0" w:space="0" w:color="auto"/>
            <w:bottom w:val="none" w:sz="0" w:space="0" w:color="auto"/>
            <w:right w:val="none" w:sz="0" w:space="0" w:color="auto"/>
          </w:divBdr>
        </w:div>
        <w:div w:id="43602333">
          <w:marLeft w:val="0"/>
          <w:marRight w:val="0"/>
          <w:marTop w:val="0"/>
          <w:marBottom w:val="0"/>
          <w:divBdr>
            <w:top w:val="none" w:sz="0" w:space="0" w:color="auto"/>
            <w:left w:val="none" w:sz="0" w:space="0" w:color="auto"/>
            <w:bottom w:val="none" w:sz="0" w:space="0" w:color="auto"/>
            <w:right w:val="none" w:sz="0" w:space="0" w:color="auto"/>
          </w:divBdr>
        </w:div>
        <w:div w:id="234702441">
          <w:marLeft w:val="0"/>
          <w:marRight w:val="0"/>
          <w:marTop w:val="0"/>
          <w:marBottom w:val="0"/>
          <w:divBdr>
            <w:top w:val="none" w:sz="0" w:space="0" w:color="auto"/>
            <w:left w:val="none" w:sz="0" w:space="0" w:color="auto"/>
            <w:bottom w:val="none" w:sz="0" w:space="0" w:color="auto"/>
            <w:right w:val="none" w:sz="0" w:space="0" w:color="auto"/>
          </w:divBdr>
        </w:div>
        <w:div w:id="969285483">
          <w:marLeft w:val="0"/>
          <w:marRight w:val="0"/>
          <w:marTop w:val="0"/>
          <w:marBottom w:val="0"/>
          <w:divBdr>
            <w:top w:val="none" w:sz="0" w:space="0" w:color="auto"/>
            <w:left w:val="none" w:sz="0" w:space="0" w:color="auto"/>
            <w:bottom w:val="none" w:sz="0" w:space="0" w:color="auto"/>
            <w:right w:val="none" w:sz="0" w:space="0" w:color="auto"/>
          </w:divBdr>
        </w:div>
        <w:div w:id="1777404073">
          <w:marLeft w:val="0"/>
          <w:marRight w:val="0"/>
          <w:marTop w:val="0"/>
          <w:marBottom w:val="0"/>
          <w:divBdr>
            <w:top w:val="none" w:sz="0" w:space="0" w:color="auto"/>
            <w:left w:val="none" w:sz="0" w:space="0" w:color="auto"/>
            <w:bottom w:val="none" w:sz="0" w:space="0" w:color="auto"/>
            <w:right w:val="none" w:sz="0" w:space="0" w:color="auto"/>
          </w:divBdr>
        </w:div>
      </w:divsChild>
    </w:div>
    <w:div w:id="1132361523">
      <w:bodyDiv w:val="1"/>
      <w:marLeft w:val="0"/>
      <w:marRight w:val="0"/>
      <w:marTop w:val="0"/>
      <w:marBottom w:val="0"/>
      <w:divBdr>
        <w:top w:val="none" w:sz="0" w:space="0" w:color="auto"/>
        <w:left w:val="none" w:sz="0" w:space="0" w:color="auto"/>
        <w:bottom w:val="none" w:sz="0" w:space="0" w:color="auto"/>
        <w:right w:val="none" w:sz="0" w:space="0" w:color="auto"/>
      </w:divBdr>
      <w:divsChild>
        <w:div w:id="1280071216">
          <w:marLeft w:val="0"/>
          <w:marRight w:val="0"/>
          <w:marTop w:val="0"/>
          <w:marBottom w:val="0"/>
          <w:divBdr>
            <w:top w:val="none" w:sz="0" w:space="0" w:color="auto"/>
            <w:left w:val="none" w:sz="0" w:space="0" w:color="auto"/>
            <w:bottom w:val="none" w:sz="0" w:space="0" w:color="auto"/>
            <w:right w:val="none" w:sz="0" w:space="0" w:color="auto"/>
          </w:divBdr>
        </w:div>
        <w:div w:id="48387377">
          <w:marLeft w:val="0"/>
          <w:marRight w:val="0"/>
          <w:marTop w:val="0"/>
          <w:marBottom w:val="0"/>
          <w:divBdr>
            <w:top w:val="none" w:sz="0" w:space="0" w:color="auto"/>
            <w:left w:val="none" w:sz="0" w:space="0" w:color="auto"/>
            <w:bottom w:val="none" w:sz="0" w:space="0" w:color="auto"/>
            <w:right w:val="none" w:sz="0" w:space="0" w:color="auto"/>
          </w:divBdr>
        </w:div>
        <w:div w:id="1467431759">
          <w:marLeft w:val="0"/>
          <w:marRight w:val="0"/>
          <w:marTop w:val="0"/>
          <w:marBottom w:val="0"/>
          <w:divBdr>
            <w:top w:val="none" w:sz="0" w:space="0" w:color="auto"/>
            <w:left w:val="none" w:sz="0" w:space="0" w:color="auto"/>
            <w:bottom w:val="none" w:sz="0" w:space="0" w:color="auto"/>
            <w:right w:val="none" w:sz="0" w:space="0" w:color="auto"/>
          </w:divBdr>
        </w:div>
        <w:div w:id="1781608778">
          <w:marLeft w:val="0"/>
          <w:marRight w:val="0"/>
          <w:marTop w:val="0"/>
          <w:marBottom w:val="0"/>
          <w:divBdr>
            <w:top w:val="none" w:sz="0" w:space="0" w:color="auto"/>
            <w:left w:val="none" w:sz="0" w:space="0" w:color="auto"/>
            <w:bottom w:val="none" w:sz="0" w:space="0" w:color="auto"/>
            <w:right w:val="none" w:sz="0" w:space="0" w:color="auto"/>
          </w:divBdr>
        </w:div>
        <w:div w:id="167451297">
          <w:marLeft w:val="0"/>
          <w:marRight w:val="0"/>
          <w:marTop w:val="0"/>
          <w:marBottom w:val="0"/>
          <w:divBdr>
            <w:top w:val="none" w:sz="0" w:space="0" w:color="auto"/>
            <w:left w:val="none" w:sz="0" w:space="0" w:color="auto"/>
            <w:bottom w:val="none" w:sz="0" w:space="0" w:color="auto"/>
            <w:right w:val="none" w:sz="0" w:space="0" w:color="auto"/>
          </w:divBdr>
        </w:div>
        <w:div w:id="796601470">
          <w:marLeft w:val="0"/>
          <w:marRight w:val="0"/>
          <w:marTop w:val="0"/>
          <w:marBottom w:val="0"/>
          <w:divBdr>
            <w:top w:val="none" w:sz="0" w:space="0" w:color="auto"/>
            <w:left w:val="none" w:sz="0" w:space="0" w:color="auto"/>
            <w:bottom w:val="none" w:sz="0" w:space="0" w:color="auto"/>
            <w:right w:val="none" w:sz="0" w:space="0" w:color="auto"/>
          </w:divBdr>
        </w:div>
        <w:div w:id="1839923761">
          <w:marLeft w:val="0"/>
          <w:marRight w:val="0"/>
          <w:marTop w:val="0"/>
          <w:marBottom w:val="0"/>
          <w:divBdr>
            <w:top w:val="none" w:sz="0" w:space="0" w:color="auto"/>
            <w:left w:val="none" w:sz="0" w:space="0" w:color="auto"/>
            <w:bottom w:val="none" w:sz="0" w:space="0" w:color="auto"/>
            <w:right w:val="none" w:sz="0" w:space="0" w:color="auto"/>
          </w:divBdr>
        </w:div>
        <w:div w:id="340662687">
          <w:marLeft w:val="0"/>
          <w:marRight w:val="0"/>
          <w:marTop w:val="0"/>
          <w:marBottom w:val="0"/>
          <w:divBdr>
            <w:top w:val="none" w:sz="0" w:space="0" w:color="auto"/>
            <w:left w:val="none" w:sz="0" w:space="0" w:color="auto"/>
            <w:bottom w:val="none" w:sz="0" w:space="0" w:color="auto"/>
            <w:right w:val="none" w:sz="0" w:space="0" w:color="auto"/>
          </w:divBdr>
        </w:div>
        <w:div w:id="1765418865">
          <w:marLeft w:val="0"/>
          <w:marRight w:val="0"/>
          <w:marTop w:val="0"/>
          <w:marBottom w:val="0"/>
          <w:divBdr>
            <w:top w:val="none" w:sz="0" w:space="0" w:color="auto"/>
            <w:left w:val="none" w:sz="0" w:space="0" w:color="auto"/>
            <w:bottom w:val="none" w:sz="0" w:space="0" w:color="auto"/>
            <w:right w:val="none" w:sz="0" w:space="0" w:color="auto"/>
          </w:divBdr>
        </w:div>
        <w:div w:id="677273437">
          <w:marLeft w:val="0"/>
          <w:marRight w:val="0"/>
          <w:marTop w:val="0"/>
          <w:marBottom w:val="0"/>
          <w:divBdr>
            <w:top w:val="none" w:sz="0" w:space="0" w:color="auto"/>
            <w:left w:val="none" w:sz="0" w:space="0" w:color="auto"/>
            <w:bottom w:val="none" w:sz="0" w:space="0" w:color="auto"/>
            <w:right w:val="none" w:sz="0" w:space="0" w:color="auto"/>
          </w:divBdr>
        </w:div>
        <w:div w:id="81295556">
          <w:marLeft w:val="0"/>
          <w:marRight w:val="0"/>
          <w:marTop w:val="0"/>
          <w:marBottom w:val="0"/>
          <w:divBdr>
            <w:top w:val="none" w:sz="0" w:space="0" w:color="auto"/>
            <w:left w:val="none" w:sz="0" w:space="0" w:color="auto"/>
            <w:bottom w:val="none" w:sz="0" w:space="0" w:color="auto"/>
            <w:right w:val="none" w:sz="0" w:space="0" w:color="auto"/>
          </w:divBdr>
        </w:div>
        <w:div w:id="449788918">
          <w:marLeft w:val="0"/>
          <w:marRight w:val="0"/>
          <w:marTop w:val="0"/>
          <w:marBottom w:val="0"/>
          <w:divBdr>
            <w:top w:val="none" w:sz="0" w:space="0" w:color="auto"/>
            <w:left w:val="none" w:sz="0" w:space="0" w:color="auto"/>
            <w:bottom w:val="none" w:sz="0" w:space="0" w:color="auto"/>
            <w:right w:val="none" w:sz="0" w:space="0" w:color="auto"/>
          </w:divBdr>
        </w:div>
        <w:div w:id="2013097365">
          <w:marLeft w:val="0"/>
          <w:marRight w:val="0"/>
          <w:marTop w:val="0"/>
          <w:marBottom w:val="0"/>
          <w:divBdr>
            <w:top w:val="none" w:sz="0" w:space="0" w:color="auto"/>
            <w:left w:val="none" w:sz="0" w:space="0" w:color="auto"/>
            <w:bottom w:val="none" w:sz="0" w:space="0" w:color="auto"/>
            <w:right w:val="none" w:sz="0" w:space="0" w:color="auto"/>
          </w:divBdr>
        </w:div>
        <w:div w:id="145711290">
          <w:marLeft w:val="0"/>
          <w:marRight w:val="0"/>
          <w:marTop w:val="0"/>
          <w:marBottom w:val="0"/>
          <w:divBdr>
            <w:top w:val="none" w:sz="0" w:space="0" w:color="auto"/>
            <w:left w:val="none" w:sz="0" w:space="0" w:color="auto"/>
            <w:bottom w:val="none" w:sz="0" w:space="0" w:color="auto"/>
            <w:right w:val="none" w:sz="0" w:space="0" w:color="auto"/>
          </w:divBdr>
        </w:div>
        <w:div w:id="1575355526">
          <w:marLeft w:val="0"/>
          <w:marRight w:val="0"/>
          <w:marTop w:val="0"/>
          <w:marBottom w:val="0"/>
          <w:divBdr>
            <w:top w:val="none" w:sz="0" w:space="0" w:color="auto"/>
            <w:left w:val="none" w:sz="0" w:space="0" w:color="auto"/>
            <w:bottom w:val="none" w:sz="0" w:space="0" w:color="auto"/>
            <w:right w:val="none" w:sz="0" w:space="0" w:color="auto"/>
          </w:divBdr>
        </w:div>
        <w:div w:id="301425466">
          <w:marLeft w:val="0"/>
          <w:marRight w:val="0"/>
          <w:marTop w:val="0"/>
          <w:marBottom w:val="0"/>
          <w:divBdr>
            <w:top w:val="none" w:sz="0" w:space="0" w:color="auto"/>
            <w:left w:val="none" w:sz="0" w:space="0" w:color="auto"/>
            <w:bottom w:val="none" w:sz="0" w:space="0" w:color="auto"/>
            <w:right w:val="none" w:sz="0" w:space="0" w:color="auto"/>
          </w:divBdr>
        </w:div>
      </w:divsChild>
    </w:div>
    <w:div w:id="1460495611">
      <w:bodyDiv w:val="1"/>
      <w:marLeft w:val="0"/>
      <w:marRight w:val="0"/>
      <w:marTop w:val="0"/>
      <w:marBottom w:val="0"/>
      <w:divBdr>
        <w:top w:val="none" w:sz="0" w:space="0" w:color="auto"/>
        <w:left w:val="none" w:sz="0" w:space="0" w:color="auto"/>
        <w:bottom w:val="none" w:sz="0" w:space="0" w:color="auto"/>
        <w:right w:val="none" w:sz="0" w:space="0" w:color="auto"/>
      </w:divBdr>
    </w:div>
    <w:div w:id="1634672303">
      <w:bodyDiv w:val="1"/>
      <w:marLeft w:val="0"/>
      <w:marRight w:val="0"/>
      <w:marTop w:val="0"/>
      <w:marBottom w:val="0"/>
      <w:divBdr>
        <w:top w:val="none" w:sz="0" w:space="0" w:color="auto"/>
        <w:left w:val="none" w:sz="0" w:space="0" w:color="auto"/>
        <w:bottom w:val="none" w:sz="0" w:space="0" w:color="auto"/>
        <w:right w:val="none" w:sz="0" w:space="0" w:color="auto"/>
      </w:divBdr>
    </w:div>
    <w:div w:id="1641961459">
      <w:bodyDiv w:val="1"/>
      <w:marLeft w:val="0"/>
      <w:marRight w:val="0"/>
      <w:marTop w:val="0"/>
      <w:marBottom w:val="0"/>
      <w:divBdr>
        <w:top w:val="none" w:sz="0" w:space="0" w:color="auto"/>
        <w:left w:val="none" w:sz="0" w:space="0" w:color="auto"/>
        <w:bottom w:val="none" w:sz="0" w:space="0" w:color="auto"/>
        <w:right w:val="none" w:sz="0" w:space="0" w:color="auto"/>
      </w:divBdr>
    </w:div>
    <w:div w:id="1667854208">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1743</Words>
  <Characters>9937</Characters>
  <Application>Microsoft Office Word</Application>
  <DocSecurity>0</DocSecurity>
  <Lines>82</Lines>
  <Paragraphs>23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BSK</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MR</cp:lastModifiedBy>
  <cp:revision>2</cp:revision>
  <cp:lastPrinted>2017-04-27T11:22:00Z</cp:lastPrinted>
  <dcterms:created xsi:type="dcterms:W3CDTF">2017-04-27T12:03:00Z</dcterms:created>
  <dcterms:modified xsi:type="dcterms:W3CDTF">2017-04-27T12:03:00Z</dcterms:modified>
</cp:coreProperties>
</file>